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BA8B41" w14:textId="77777777" w:rsidR="00FF560A" w:rsidRDefault="00FF560A" w:rsidP="00EF4B8F">
      <w:pPr>
        <w:pStyle w:val="cn"/>
        <w:rPr>
          <w:rFonts w:eastAsia="Times New Roman"/>
        </w:rPr>
      </w:pPr>
      <w:r w:rsidRPr="008F21B7">
        <w:rPr>
          <w:rFonts w:eastAsia="Times New Roman"/>
        </w:rPr>
        <w:t>Chapter 8</w:t>
      </w:r>
    </w:p>
    <w:p w14:paraId="6643CF4C" w14:textId="0B475A7E" w:rsidR="00FF560A" w:rsidRPr="00EF4B8F" w:rsidRDefault="00FF560A" w:rsidP="00EF4B8F">
      <w:pPr>
        <w:pStyle w:val="ct"/>
      </w:pPr>
      <w:r w:rsidRPr="008F21B7">
        <w:t>Local Culture of Global Proportions</w:t>
      </w:r>
    </w:p>
    <w:p w14:paraId="5ACDDDA2" w14:textId="4B67442D" w:rsidR="00FF560A" w:rsidRPr="00EF4B8F" w:rsidRDefault="00FF560A" w:rsidP="00EF4B8F">
      <w:pPr>
        <w:pStyle w:val="ca"/>
        <w:rPr>
          <w:rFonts w:eastAsia="Times New Roman"/>
        </w:rPr>
      </w:pPr>
      <w:r w:rsidRPr="00F930FA">
        <w:rPr>
          <w:rFonts w:eastAsia="Times New Roman"/>
        </w:rPr>
        <w:t xml:space="preserve">Andrew </w:t>
      </w:r>
      <w:proofErr w:type="spellStart"/>
      <w:r w:rsidRPr="00F930FA">
        <w:rPr>
          <w:rFonts w:eastAsia="Times New Roman"/>
        </w:rPr>
        <w:t>Zitcer</w:t>
      </w:r>
      <w:proofErr w:type="spellEnd"/>
    </w:p>
    <w:p w14:paraId="3587BDAB" w14:textId="77777777" w:rsidR="000F25BD" w:rsidRDefault="000F25BD" w:rsidP="00EF4B8F">
      <w:pPr>
        <w:pStyle w:val="tx-fl"/>
      </w:pPr>
    </w:p>
    <w:p w14:paraId="26BC7F46" w14:textId="266F4842" w:rsidR="00FF560A" w:rsidRPr="008F21B7" w:rsidRDefault="00FF560A" w:rsidP="00EF4B8F">
      <w:pPr>
        <w:pStyle w:val="tx-fl"/>
      </w:pPr>
      <w:r w:rsidRPr="008F21B7">
        <w:t xml:space="preserve">Academically </w:t>
      </w:r>
      <w:r w:rsidR="00CF5653">
        <w:t>B</w:t>
      </w:r>
      <w:r w:rsidRPr="008F21B7">
        <w:t xml:space="preserve">ased </w:t>
      </w:r>
      <w:r w:rsidR="00CF5653">
        <w:t>C</w:t>
      </w:r>
      <w:r w:rsidRPr="008F21B7">
        <w:t xml:space="preserve">ommunity </w:t>
      </w:r>
      <w:r w:rsidR="00CF5653">
        <w:t>S</w:t>
      </w:r>
      <w:r w:rsidRPr="008F21B7">
        <w:t>ervice (ABCS) and community-based learning (CBL) are core to my identity as a faculty member at Drexel University. I attribute these commitments to the exposure I had to these traditions while a student at the University of Pennsylvania in the late 1990s and particularly to the experiences I had through the Netter Center for Community Partnerships.</w:t>
      </w:r>
    </w:p>
    <w:p w14:paraId="286B57BB" w14:textId="0F14591E" w:rsidR="00FF560A" w:rsidRPr="008F21B7" w:rsidRDefault="00FF560A" w:rsidP="00EF4B8F">
      <w:pPr>
        <w:pStyle w:val="tx"/>
      </w:pPr>
      <w:r w:rsidRPr="008F21B7">
        <w:t xml:space="preserve">The most impactful of those experiences was the cocreation of the Foundation Community Arts Initiative (later, simply, </w:t>
      </w:r>
      <w:r w:rsidR="009D09AA">
        <w:t>t</w:t>
      </w:r>
      <w:r w:rsidRPr="008F21B7">
        <w:t xml:space="preserve">he Rotunda). This community arts center is still in operation </w:t>
      </w:r>
      <w:r w:rsidR="009D09AA">
        <w:t>twenty-five</w:t>
      </w:r>
      <w:r w:rsidR="009D09AA" w:rsidRPr="008F21B7">
        <w:t xml:space="preserve"> </w:t>
      </w:r>
      <w:r w:rsidRPr="008F21B7">
        <w:t>years later.</w:t>
      </w:r>
    </w:p>
    <w:p w14:paraId="3911565C" w14:textId="67B9094B" w:rsidR="00FF560A" w:rsidRPr="008F21B7" w:rsidRDefault="00FF560A" w:rsidP="00EF4B8F">
      <w:pPr>
        <w:pStyle w:val="tx"/>
      </w:pPr>
      <w:r w:rsidRPr="008F21B7">
        <w:t>It grew directly out of a paper I cowrote for an honors seminar taught by Lee Benson and Ira Harkavy in the 1998</w:t>
      </w:r>
      <w:r>
        <w:t>–</w:t>
      </w:r>
      <w:r w:rsidRPr="008F21B7">
        <w:t>1999 academic year, and that paper grew directly out of an earlier piece of student work in the seminar. Benson and Harkavy gave me a copy of that prior project to examine: a proposal to site a jazz club on 40</w:t>
      </w:r>
      <w:r w:rsidRPr="00EF4B8F">
        <w:t>th</w:t>
      </w:r>
      <w:r w:rsidRPr="008F21B7">
        <w:t xml:space="preserve"> </w:t>
      </w:r>
      <w:r w:rsidR="009D09AA">
        <w:t>S</w:t>
      </w:r>
      <w:r w:rsidRPr="008F21B7">
        <w:t>treet, which with Penn’s expansion had become the boundary line between Penn’s campus and the neighborhoods of West Philadelphia</w:t>
      </w:r>
      <w:r>
        <w:t xml:space="preserve">. </w:t>
      </w:r>
    </w:p>
    <w:p w14:paraId="692ACE74" w14:textId="23829E9C" w:rsidR="00FF560A" w:rsidRPr="008F21B7" w:rsidRDefault="00FF560A" w:rsidP="00EF4B8F">
      <w:pPr>
        <w:pStyle w:val="tx"/>
      </w:pPr>
      <w:r w:rsidRPr="008F21B7">
        <w:t>At that time, it seemed to me extraordinary to share undergraduate work from one year’s students to another, to continue the momentum of promising ideas</w:t>
      </w:r>
      <w:r>
        <w:t xml:space="preserve">. </w:t>
      </w:r>
      <w:r w:rsidRPr="008F21B7">
        <w:t>But if I had not been exposed to that concept paper, the idea for the Rotunda would not have occurred to me.</w:t>
      </w:r>
      <w:r>
        <w:t xml:space="preserve"> </w:t>
      </w:r>
      <w:r w:rsidRPr="008F21B7">
        <w:t>Now, sharing (with permission) work from one generation of students to the next informs my mentoring of graduate</w:t>
      </w:r>
      <w:r w:rsidR="009D09AA">
        <w:t>-</w:t>
      </w:r>
      <w:r w:rsidRPr="008F21B7">
        <w:t>thesis students at Drexel</w:t>
      </w:r>
      <w:r>
        <w:t xml:space="preserve">. </w:t>
      </w:r>
      <w:r w:rsidRPr="008F21B7">
        <w:t xml:space="preserve">I </w:t>
      </w:r>
      <w:proofErr w:type="gramStart"/>
      <w:r w:rsidRPr="008F21B7">
        <w:t>actually require</w:t>
      </w:r>
      <w:proofErr w:type="gramEnd"/>
      <w:r w:rsidRPr="008F21B7">
        <w:t xml:space="preserve"> them to read at least two prior theses as inspiration for both the form and content of their own thesis process. </w:t>
      </w:r>
    </w:p>
    <w:p w14:paraId="2A3F1979" w14:textId="7C479D9A" w:rsidR="00FF560A" w:rsidRPr="008F21B7" w:rsidRDefault="00FF560A" w:rsidP="00EF4B8F">
      <w:pPr>
        <w:pStyle w:val="tx"/>
      </w:pPr>
      <w:r w:rsidRPr="008F21B7">
        <w:t>Alas, I cannot replicate another aspect of that honors seminar</w:t>
      </w:r>
      <w:r>
        <w:t xml:space="preserve">. </w:t>
      </w:r>
      <w:r w:rsidRPr="008F21B7">
        <w:t>Graduate theses, at Drexel and elsewhere, are individual enterprises</w:t>
      </w:r>
      <w:r>
        <w:t xml:space="preserve">. </w:t>
      </w:r>
      <w:r w:rsidRPr="008F21B7">
        <w:t>All projects in the Benson</w:t>
      </w:r>
      <w:r w:rsidR="009D09AA">
        <w:t>-</w:t>
      </w:r>
      <w:r w:rsidRPr="008F21B7">
        <w:t xml:space="preserve">Harkavy seminar were group projects, and I benefited immensely from the opportunity to collaborate with fellow undergraduates Noah </w:t>
      </w:r>
      <w:proofErr w:type="spellStart"/>
      <w:r w:rsidRPr="008F21B7">
        <w:t>Bilenker</w:t>
      </w:r>
      <w:proofErr w:type="spellEnd"/>
      <w:r w:rsidRPr="008F21B7">
        <w:t>, Swapnil Shah, and Micah Westerman, who worked with me to refine and advance the vision for the Rotunda.</w:t>
      </w:r>
    </w:p>
    <w:p w14:paraId="51C10EEC" w14:textId="4F6A10EC" w:rsidR="00FF560A" w:rsidRPr="008F21B7" w:rsidRDefault="00FF560A" w:rsidP="00EF4B8F">
      <w:pPr>
        <w:pStyle w:val="tx"/>
      </w:pPr>
      <w:r w:rsidRPr="008F21B7">
        <w:t>But back to the concept of a jazz club on 40</w:t>
      </w:r>
      <w:r w:rsidRPr="00EF4B8F">
        <w:t>th</w:t>
      </w:r>
      <w:r w:rsidRPr="008F21B7">
        <w:t xml:space="preserve"> Street. Even as a </w:t>
      </w:r>
      <w:r w:rsidR="009D09AA">
        <w:t>twenty</w:t>
      </w:r>
      <w:r w:rsidRPr="008F21B7">
        <w:t xml:space="preserve">-year-old undergraduate, I knew that </w:t>
      </w:r>
      <w:r w:rsidR="009D09AA">
        <w:t>the</w:t>
      </w:r>
      <w:r w:rsidR="009D09AA" w:rsidRPr="008F21B7">
        <w:t xml:space="preserve"> </w:t>
      </w:r>
      <w:r w:rsidRPr="008F21B7">
        <w:t xml:space="preserve">idea would not work. I understood that successful jazz clubs are products of local relationships and national connections. They do not work when they appear out </w:t>
      </w:r>
      <w:r w:rsidRPr="008F21B7">
        <w:lastRenderedPageBreak/>
        <w:t>of thin air, just dropped in a place without suitable context or bridge-building to the music communities that surround them. Besides, by the late 1990s, jazz was no longer as popular as it had been in the past, and there were other jazz clubs in West Philadelphia struggling to remain viable.</w:t>
      </w:r>
    </w:p>
    <w:p w14:paraId="76665703" w14:textId="77777777" w:rsidR="00FF560A" w:rsidRPr="008F21B7" w:rsidRDefault="00FF560A" w:rsidP="00EF4B8F">
      <w:pPr>
        <w:pStyle w:val="tx"/>
      </w:pPr>
      <w:r w:rsidRPr="008F21B7">
        <w:t xml:space="preserve">As our thinking advanced, the idea of a jazz club morphed into a proposal for a community arts center that would promote not only jazz but also a multitude of other forms of musical and cultural expression. It would be a hub and a home for artists in West Philadelphia and beyond. It would take the best of the thriving cultural scenes of the time and amalgamate them in one venue that could be a community gathering place for the promotion of arts and culture. </w:t>
      </w:r>
    </w:p>
    <w:p w14:paraId="4F2501C7" w14:textId="06342DE4" w:rsidR="00FF560A" w:rsidRPr="008F21B7" w:rsidRDefault="00FF560A" w:rsidP="00EF4B8F">
      <w:pPr>
        <w:pStyle w:val="tx"/>
      </w:pPr>
      <w:r w:rsidRPr="008F21B7">
        <w:t>How did I know that a community arts center would be the right fit for 40</w:t>
      </w:r>
      <w:r w:rsidRPr="00EF4B8F">
        <w:t>th</w:t>
      </w:r>
      <w:r w:rsidRPr="008F21B7">
        <w:t xml:space="preserve"> </w:t>
      </w:r>
      <w:r w:rsidR="009D09AA">
        <w:t>S</w:t>
      </w:r>
      <w:r w:rsidRPr="008F21B7">
        <w:t xml:space="preserve">treet? A set of other experiences also influenced my sensibility regarding community engagement while at the University of Pennsylvania. </w:t>
      </w:r>
    </w:p>
    <w:p w14:paraId="59C21A84" w14:textId="7E18A937" w:rsidR="00FF560A" w:rsidRPr="008F21B7" w:rsidRDefault="00FF560A" w:rsidP="00EF4B8F">
      <w:pPr>
        <w:pStyle w:val="tx"/>
      </w:pPr>
      <w:r w:rsidRPr="008F21B7">
        <w:t xml:space="preserve">The first of these was another ABCS course: the Black Bottom Theater Project, led by Professor Billy </w:t>
      </w:r>
      <w:proofErr w:type="spellStart"/>
      <w:r w:rsidRPr="008F21B7">
        <w:t>Yalowitz</w:t>
      </w:r>
      <w:proofErr w:type="spellEnd"/>
      <w:r w:rsidRPr="008F21B7">
        <w:t xml:space="preserve"> (who was then working for the Center for Community Partnerships). The Black Bottom is the name of the historic African American neighborhood </w:t>
      </w:r>
      <w:r w:rsidR="00F36E68">
        <w:t xml:space="preserve">in Philadelphia </w:t>
      </w:r>
      <w:r w:rsidRPr="008F21B7">
        <w:t>that was destroyed by urban renewal in the late 1960s</w:t>
      </w:r>
      <w:r>
        <w:t>.</w:t>
      </w:r>
      <w:r w:rsidRPr="00EF4B8F">
        <w:rPr>
          <w:rStyle w:val="enref"/>
        </w:rPr>
        <w:endnoteReference w:id="1"/>
      </w:r>
      <w:r w:rsidRPr="008F21B7">
        <w:t xml:space="preserve"> Despite losing their homes, elders from the Black Bottom continued to form an association</w:t>
      </w:r>
      <w:r w:rsidR="009D09AA">
        <w:t>—</w:t>
      </w:r>
      <w:r w:rsidRPr="008F21B7">
        <w:t>one that exists to this day</w:t>
      </w:r>
      <w:r w:rsidR="009D09AA">
        <w:t>—</w:t>
      </w:r>
      <w:r w:rsidRPr="008F21B7">
        <w:t xml:space="preserve">and gather periodically to celebrate what once was and mourn what has been lost. Working with undergraduates from the University of Pennsylvania and high school students from University City High School (built in the former Black Bottom and later demolished as part of another renewal scheme in the 2010s), </w:t>
      </w:r>
      <w:proofErr w:type="spellStart"/>
      <w:r w:rsidRPr="008F21B7">
        <w:t>Yalowitz</w:t>
      </w:r>
      <w:proofErr w:type="spellEnd"/>
      <w:r w:rsidRPr="008F21B7">
        <w:t xml:space="preserve"> connected with living elders from the Black Bottom. These elders told their stories as oral histories, which were recorded and turned into scenes for a theater production by the Penn students, to be acted out in community performance by the high school students and the elders. These “Black Bottom Sketches” were performed in a local church, not a proscenium theater. This was an important lesson in the practice of community arts. Working on this performance project was a powerful introduction to the depth and resonance of local history in West Philadelphia and to the importance of the arts in revealing other perspectives and counternarratives that need amplification and showcasing in spaces like the Rotunda. </w:t>
      </w:r>
    </w:p>
    <w:p w14:paraId="7A19C933" w14:textId="34792173" w:rsidR="00FF560A" w:rsidRPr="00EF4B8F" w:rsidRDefault="00FF560A" w:rsidP="00EF4B8F">
      <w:pPr>
        <w:pStyle w:val="tx"/>
      </w:pPr>
      <w:r w:rsidRPr="008F21B7">
        <w:t xml:space="preserve">In addition to being part of the Black Bottom performances, Penn offered other key experiences that led to the project at the Rotunda: working at the Kelly Writers House and </w:t>
      </w:r>
      <w:r w:rsidRPr="008F21B7">
        <w:lastRenderedPageBreak/>
        <w:t>WXPN during my time as an undergraduate. Both remain important Penn arts institutions. The Kelly Writers House is a home for local, national, and international writers to engage with students and the literary community at Penn; WXPN is Penn’s professionally run campus radio station. I was a student worker at the Writers House and a production intern at WXPN for much of my time at Penn. The two entities collaborated on a poetry program called Live at the Writers House that was recorded live to tape during the academic year. I served as an engineer on this program. During the months when Live at the Writers House was on hiatus, I served as a producer and sometime host for its sister program, Dystopia, which featured local musicians in themed episodes (</w:t>
      </w:r>
      <w:r w:rsidR="009D09AA">
        <w:t xml:space="preserve">for example, </w:t>
      </w:r>
      <w:r w:rsidRPr="008F21B7">
        <w:t xml:space="preserve">hip-hop, contemporary classical, psychedelic rock) punctuated by poetry interludes. Each of these experiences, in its own way, sensitized me to the power of working collaboratively with communities, either geographically based or funded in common interest. </w:t>
      </w:r>
      <w:r w:rsidRPr="008F21B7">
        <w:rPr>
          <w:rFonts w:cs="Times New Roman"/>
        </w:rPr>
        <w:t>By getting exposed to the rich local arts communities that Philadelphia had to offer, I was falling in love with these forms of cultural expression. My own dreams of heading to New York to pursue a career in arts and culture were starting to shift; Philadelphia had gotten under my skin.</w:t>
      </w:r>
    </w:p>
    <w:p w14:paraId="4A48A84E" w14:textId="3A90BBD4" w:rsidR="00FF560A" w:rsidRPr="008F21B7" w:rsidRDefault="00FF560A" w:rsidP="00EF4B8F">
      <w:pPr>
        <w:pStyle w:val="tx"/>
      </w:pPr>
      <w:r w:rsidRPr="008F21B7">
        <w:t xml:space="preserve">At the end of the semester, I expected to leave the community arts center proposal behind, perhaps to be picked up later by another group of students. After all, that’s what happens in universities most of the time. The semester ends, and everybody moves on. This is one of the main frustrations felt by community members about university partnerships. But to my great surprise and delight, Ira Harkavy did not forget about the Rotunda proposal. He showed the seminar paper to Penn’s Vice Provost for University Life, Dr. Valarie Swain-Cade </w:t>
      </w:r>
      <w:proofErr w:type="spellStart"/>
      <w:r w:rsidRPr="008F21B7">
        <w:t>McCoullum</w:t>
      </w:r>
      <w:proofErr w:type="spellEnd"/>
      <w:r w:rsidRPr="008F21B7">
        <w:t xml:space="preserve">, and to the Vice President for Facilities and Real Estate, Omar Blaik, and his deputy, Tom </w:t>
      </w:r>
      <w:proofErr w:type="spellStart"/>
      <w:r w:rsidRPr="008F21B7">
        <w:t>Lussenhop</w:t>
      </w:r>
      <w:proofErr w:type="spellEnd"/>
      <w:r w:rsidRPr="008F21B7">
        <w:t xml:space="preserve">. With their enthusiastic endorsement of the idea, we undertook a space search that ultimately led to a Christian Science church that had been sold to Penn a few years before. This space, now dubbed the Rotunda (after its most distinguishing architectural feature), began to host performances and community events in April 1999 and has never looked back. It thrived because the programming decisions were made by a group of artists that handpicked the performers, as opposed to being curated solely by me or by Penn students. And it thrived because of the budgetary support of the university, which paid the performers, maintained the space, purchased a sound system, and more. Today, the Rotunda hosts free events each week and draws from the </w:t>
      </w:r>
      <w:r w:rsidRPr="008F21B7">
        <w:lastRenderedPageBreak/>
        <w:t xml:space="preserve">diversity of Greater Philadelphia’s audiences to host one of the widest arrays of programming of any venue in Philadelphia. </w:t>
      </w:r>
    </w:p>
    <w:p w14:paraId="606D9F10" w14:textId="35EF106E" w:rsidR="00FF560A" w:rsidRPr="008F21B7" w:rsidRDefault="00FF560A" w:rsidP="00EF4B8F">
      <w:pPr>
        <w:pStyle w:val="tx"/>
      </w:pPr>
      <w:r w:rsidRPr="008F21B7">
        <w:t xml:space="preserve">Setting up and running the Rotunda was not always easy. I recall cold-calling community representatives </w:t>
      </w:r>
      <w:r w:rsidR="00E214DE">
        <w:t>such as</w:t>
      </w:r>
      <w:r w:rsidR="00E214DE" w:rsidRPr="008F21B7">
        <w:t xml:space="preserve"> </w:t>
      </w:r>
      <w:r w:rsidRPr="008F21B7">
        <w:t>the heads of the local neighborhood associations, telling them about the idea. One leader from Walnut Hill had harsh words for me, strongly doubting that any Penn undergraduate would follow through on these commitments to the community. She was justified in her wariness and disbelief. The record is littered with unfulfilled promises between Penn and West Philadelphia. Also, the work of setting up the Rotunda was painstaking</w:t>
      </w:r>
      <w:r>
        <w:t xml:space="preserve">. </w:t>
      </w:r>
      <w:r w:rsidRPr="008F21B7">
        <w:t>In the early days especially, it fell largely to a volunteer crew of undergraduate students who had a host of other academic and cocurricular priorities. And there were times when we got the programming wrong. I recall shows in those early days where the performers outnumbered the audience, even when it was a solo performance! Still, programming grew stronger as time went on, and the Rotunda began to attract a large and dedicated following</w:t>
      </w:r>
      <w:r>
        <w:t xml:space="preserve">. </w:t>
      </w:r>
    </w:p>
    <w:p w14:paraId="687C03C6" w14:textId="7187D801" w:rsidR="00FF560A" w:rsidRPr="008F21B7" w:rsidRDefault="00FF560A" w:rsidP="00EF4B8F">
      <w:pPr>
        <w:pStyle w:val="tx"/>
      </w:pPr>
      <w:r w:rsidRPr="008F21B7">
        <w:t xml:space="preserve">Ira Harkavy’s advocacy of the Rotunda and of my role at Penn led to my being appointed to a new position in Penn’s Division of Facilities and Real Estate Services. I was now the </w:t>
      </w:r>
      <w:r w:rsidR="009D09AA">
        <w:t>c</w:t>
      </w:r>
      <w:r w:rsidRPr="008F21B7">
        <w:t xml:space="preserve">ultural </w:t>
      </w:r>
      <w:r w:rsidR="009D09AA">
        <w:t>a</w:t>
      </w:r>
      <w:r w:rsidRPr="008F21B7">
        <w:t xml:space="preserve">sset </w:t>
      </w:r>
      <w:r w:rsidR="009D09AA">
        <w:t>m</w:t>
      </w:r>
      <w:r w:rsidRPr="008F21B7">
        <w:t>anager, responsible for bringing even more arts and culture onto and around the 40</w:t>
      </w:r>
      <w:r w:rsidRPr="00EF4B8F">
        <w:t>th</w:t>
      </w:r>
      <w:r w:rsidRPr="008F21B7">
        <w:t xml:space="preserve"> Street corridor as a cultural component of Penn’s West Philadelphia Initiatives</w:t>
      </w:r>
      <w:r>
        <w:t>.</w:t>
      </w:r>
      <w:r w:rsidRPr="00EF4B8F">
        <w:rPr>
          <w:rStyle w:val="enref"/>
        </w:rPr>
        <w:endnoteReference w:id="2"/>
      </w:r>
      <w:r w:rsidRPr="008F21B7">
        <w:t xml:space="preserve"> I passed off the daily work of running the Rotunda to Gina Renzi, the incredibly talented director who runs it to this day, and focused on supporting the </w:t>
      </w:r>
      <w:proofErr w:type="spellStart"/>
      <w:r w:rsidRPr="008F21B7">
        <w:t>Slought</w:t>
      </w:r>
      <w:proofErr w:type="spellEnd"/>
      <w:r w:rsidRPr="008F21B7">
        <w:t xml:space="preserve"> Foundation (an art gallery and community space), the 40</w:t>
      </w:r>
      <w:r w:rsidRPr="00EF4B8F">
        <w:t>th</w:t>
      </w:r>
      <w:r w:rsidRPr="008F21B7">
        <w:t xml:space="preserve"> Street Artist-in-Residency Program, the studio of Argentine</w:t>
      </w:r>
      <w:r w:rsidR="00FD0828">
        <w:t xml:space="preserve"> </w:t>
      </w:r>
      <w:r w:rsidRPr="008F21B7">
        <w:t>American artist Osvaldo Romberg, Scribe Video Center, and more. It was an incredible time for arts and culture in the life of Penn and West Philadelphia. I held this position until 2008, when I left Penn to pursue a PhD in urban planning and public policy from Rutgers University. I was inspired by my work at the Rotunda and wanted to become an activist scholar, like my mentors at Penn. (At Rutgers, I found a mentor in Dr. Robert Lake, who is, like Ira Harkavy, a scholar of John Dewey and his ideas of cities and social justice. I doubt that this was a coincidence.)</w:t>
      </w:r>
    </w:p>
    <w:p w14:paraId="78A9B066" w14:textId="05FA540D" w:rsidR="00FF560A" w:rsidRPr="008F21B7" w:rsidRDefault="00FF560A" w:rsidP="00FD0828">
      <w:pPr>
        <w:pStyle w:val="tx"/>
      </w:pPr>
      <w:r w:rsidRPr="008F21B7">
        <w:t xml:space="preserve">Today, I lead the Urban Strategy graduate program at Drexel University’s Antoinette Westphal College of Media Arts </w:t>
      </w:r>
      <w:r w:rsidR="00FD0828">
        <w:t>and</w:t>
      </w:r>
      <w:r w:rsidRPr="008F21B7">
        <w:t xml:space="preserve"> Design. The Urban Strategy program, whose curriculum I codesigned and coauthored, has community engagement at its core. One of the required first-year courses is </w:t>
      </w:r>
      <w:r w:rsidR="00FD0828">
        <w:t>“</w:t>
      </w:r>
      <w:r w:rsidRPr="00394944">
        <w:t>Civic Engagement and Participatory Methods</w:t>
      </w:r>
      <w:r w:rsidRPr="008F21B7">
        <w:t>.</w:t>
      </w:r>
      <w:r w:rsidR="00FD0828">
        <w:t>”</w:t>
      </w:r>
      <w:r w:rsidRPr="008F21B7">
        <w:t xml:space="preserve"> I coteach </w:t>
      </w:r>
      <w:r w:rsidR="00FD0828">
        <w:t>it</w:t>
      </w:r>
      <w:r w:rsidRPr="008F21B7">
        <w:t xml:space="preserve"> as a side-by-side course, with West Philadelphia residents enrolled in the course in equal numbers to Drexel students, </w:t>
      </w:r>
      <w:r w:rsidRPr="008F21B7">
        <w:lastRenderedPageBreak/>
        <w:t xml:space="preserve">learning together simultaneously. The focus of the course is how to be a changemaker in local communities, through intercultural dialogue, active listening, advanced group process, analysis of one’s leadership style, and exposure to community changemakers who provide examples of their practice. This course has run in partnership with Monumental Baptist Church, </w:t>
      </w:r>
      <w:r w:rsidR="00FD0828">
        <w:t>t</w:t>
      </w:r>
      <w:r w:rsidRPr="008F21B7">
        <w:t xml:space="preserve">he Enterprise Center, and the Drexel Writers Room. In addition to </w:t>
      </w:r>
      <w:r w:rsidR="00FD0828">
        <w:t>“</w:t>
      </w:r>
      <w:r w:rsidRPr="00394944">
        <w:t>Civic Engagement and Participatory Methods</w:t>
      </w:r>
      <w:r w:rsidRPr="008F21B7">
        <w:t>,</w:t>
      </w:r>
      <w:r w:rsidR="00FD0828">
        <w:t>”</w:t>
      </w:r>
      <w:r w:rsidRPr="008F21B7">
        <w:t xml:space="preserve"> I oversee several other </w:t>
      </w:r>
      <w:r w:rsidR="00FD0828">
        <w:t>CBL</w:t>
      </w:r>
      <w:r w:rsidRPr="008F21B7">
        <w:t xml:space="preserve"> courses taught by other faculty in my program, covering areas as diverse as immigration and community codesign for literacy. Throughout my teaching and my research, I think and act carefully regarding the intersections between the university and the community, having learned these lessons early on from Drs. </w:t>
      </w:r>
      <w:proofErr w:type="spellStart"/>
      <w:r w:rsidRPr="008F21B7">
        <w:t>Harkvay</w:t>
      </w:r>
      <w:proofErr w:type="spellEnd"/>
      <w:r w:rsidRPr="008F21B7">
        <w:t xml:space="preserve"> and Benson. Currently, I am working on a book entitled </w:t>
      </w:r>
      <w:r w:rsidRPr="00EF4B8F">
        <w:rPr>
          <w:rStyle w:val="i"/>
        </w:rPr>
        <w:t>Democracy as Creative Practice: Weaving a Culture of Civic Life</w:t>
      </w:r>
      <w:r w:rsidRPr="008F21B7">
        <w:t xml:space="preserve">. This effort would never have happened without my exposure to ABCS and the Rotunda. It is in direct lineage with my early exposure to these principles while at Penn. </w:t>
      </w:r>
    </w:p>
    <w:p w14:paraId="20E1215B" w14:textId="003C3F4A" w:rsidR="00FF560A" w:rsidRPr="008F21B7" w:rsidRDefault="00FF560A" w:rsidP="00EF4B8F">
      <w:pPr>
        <w:pStyle w:val="tx"/>
      </w:pPr>
      <w:r w:rsidRPr="008F21B7">
        <w:t xml:space="preserve">Luckily, Drexel’s commitment to community engagement has supported and bolstered my efforts to become a community-engaged teacher and scholar. Drexel’s Lindy Center for Civic Engagement has provided me with training and ongoing support for my goals in </w:t>
      </w:r>
      <w:r w:rsidR="00FD0828">
        <w:t>CBL</w:t>
      </w:r>
      <w:r w:rsidRPr="008F21B7">
        <w:t xml:space="preserve">. Early in my time at Drexel, I undertook a three-day intensive training in which faculty learned about CBL as a cohort and spent a full day at SCI </w:t>
      </w:r>
      <w:proofErr w:type="spellStart"/>
      <w:r w:rsidRPr="008F21B7">
        <w:t>Graterford</w:t>
      </w:r>
      <w:proofErr w:type="spellEnd"/>
      <w:r w:rsidRPr="008F21B7">
        <w:t xml:space="preserve"> Prison, where we had the privilege of learning about engaged pedagogy from incarcerated members of the Inside-Out Think Tank who were trained in such methods. Since then, the development of the Urban Strategy program and its ongoing stewardship has been supported by members of the Lindy Center who have helped me map community engagement goals to the learning goals of the Urban Strategy curriculum and recruit community students to my side-by-side courses. Even in my tenure process, the community-based work that I did was called out for special attention, though such work did not replace traditional scholarly publications. In fact, this Netter retrospective may be the first time I have written about my CBL teaching for publication, though I have considered it in the past.</w:t>
      </w:r>
    </w:p>
    <w:p w14:paraId="77C973E6" w14:textId="77777777" w:rsidR="00FF560A" w:rsidRPr="008F21B7" w:rsidRDefault="00FF560A" w:rsidP="00EF4B8F">
      <w:pPr>
        <w:pStyle w:val="tx"/>
      </w:pPr>
      <w:r w:rsidRPr="008F21B7">
        <w:t xml:space="preserve">The ease with which I have been able to pursue CBL teaching and scholarship at Drexel does not mean that the work itself has been easy. CBL and side-by-side teaching take considerably more time, attention, and care than other forms of classroom teaching, without additional compensation for planning time or execution. I have been humbled by the challenges presented by working with neighborhood residents and Drexel students working together in community. </w:t>
      </w:r>
      <w:r w:rsidRPr="008F21B7">
        <w:lastRenderedPageBreak/>
        <w:t xml:space="preserve">One such challenge that I recall involved a prompt to students that active listening in community settings involved making eye contact. A community student explained firmly but with care that eye contact is not a norm in many cultures and may even be a sign of disrespect rather than a sign of communicative engagement. I have also faced challenges recruiting and retaining community students for my courses. It is sometimes tricky to find the right language and imagery (and advertising mechanisms) to entice community students to see the value in the course offerings of the Urban Strategy program. </w:t>
      </w:r>
    </w:p>
    <w:p w14:paraId="06704894" w14:textId="5C31E0BB" w:rsidR="00FF560A" w:rsidRPr="008F21B7" w:rsidRDefault="00FF560A" w:rsidP="00EF4B8F">
      <w:pPr>
        <w:pStyle w:val="tx"/>
      </w:pPr>
      <w:r w:rsidRPr="008F21B7">
        <w:t xml:space="preserve">There are other struggles inherent in this work as well, at least from my vantage point. One struggle relates to my own status as a community-engaged scholar and teacher. There are others around me, at Drexel and beyond, who seem to have forged more consistent and deeper connections with community partners. There are faculty who seem to have a social ease at making contacts beyond the walls of the university and sustaining them through care over time. There are those naturally gifted teachers who have bolstered these natural gifts with intensive study and reflection on community-engaged pedagogy. They understand the most effective and liberatory practices for this work. Relative to them, I often feel like a second-rate activist scholar, a vocal champion of this work who has not been able to invest the time and effort to do this work to its (exhausting) fullest. In a very real sense, this has to do with a very high teaching load, an administrative role running the Urban Strategy program, and the commitments I have made to coparenting my two children. None of these are meant to be excuses; they are just ways I notice others going the extra mile for their CBL work in ways that I would like to do but have not yet been able to do. </w:t>
      </w:r>
    </w:p>
    <w:p w14:paraId="1C9CF936" w14:textId="0D57BA29" w:rsidR="00FF560A" w:rsidRPr="008F21B7" w:rsidRDefault="00FF560A" w:rsidP="00EF4B8F">
      <w:pPr>
        <w:pStyle w:val="tx"/>
      </w:pPr>
      <w:r w:rsidRPr="008F21B7">
        <w:t>Another struggle is the unease I feel in doing community-engaged work in the neoliberal urban university. Despite their partnership rhetoric and their lofty aspirations to mutually beneficial relationships, I see universities doing much harm in the neighborhoods that surround them. Sometimes this harm looks like gentrification and displacement. Sometimes it looks like indicators (health, public safety, education) that seem not to move in a positive direction, even as the universities themselves continue to thrive and grow stronger. Sometimes it takes the form of research fatigue, when members of the surrounding communities are continually asked to participate in faculty and student research without receiving any real benefit that will change the material conditions of their lives. As I watch these disparities and inequities persist and grow</w:t>
      </w:r>
      <w:r>
        <w:t>—</w:t>
      </w:r>
      <w:r w:rsidRPr="008F21B7">
        <w:t xml:space="preserve"> even and especially amid the talk of development without displacement, equitable development, </w:t>
      </w:r>
      <w:r w:rsidRPr="008F21B7">
        <w:lastRenderedPageBreak/>
        <w:t>or being the most civically engaged university in the country</w:t>
      </w:r>
      <w:r>
        <w:t>—</w:t>
      </w:r>
      <w:r w:rsidRPr="008F21B7">
        <w:t xml:space="preserve">I cannot help but think that the university uses our engagement work as a cover for the more pernicious effects of its real estate deals, endowment investments in fossil fuels, and other schemes. It sometimes feels like the university permits us to do this work as a distraction from the real anchor-led exploitation of local communities. I am not naïve enough to think that university administrators see it this way consciously. But the divergent rhetoric and reality can often be hard to ignore, or </w:t>
      </w:r>
      <w:r w:rsidR="00FD0828">
        <w:t xml:space="preserve">to </w:t>
      </w:r>
      <w:r w:rsidRPr="008F21B7">
        <w:t>swallow.</w:t>
      </w:r>
    </w:p>
    <w:p w14:paraId="4D113CDF" w14:textId="77777777" w:rsidR="00FF560A" w:rsidRPr="008F21B7" w:rsidRDefault="00FF560A" w:rsidP="00EF4B8F">
      <w:pPr>
        <w:pStyle w:val="tx"/>
      </w:pPr>
      <w:r w:rsidRPr="008F21B7">
        <w:t>I can imagine two remedies for this, albeit partial ones (while we wait for a massive redistribution of wealth from the haves to the have-nots!). One is a serious dose of realism</w:t>
      </w:r>
      <w:r>
        <w:t xml:space="preserve">. </w:t>
      </w:r>
      <w:r w:rsidRPr="008F21B7">
        <w:t>The other is a sustained focus on people’s positive capabilities.</w:t>
      </w:r>
    </w:p>
    <w:p w14:paraId="29590FF4" w14:textId="58EFB88F" w:rsidR="00FF560A" w:rsidRPr="008F21B7" w:rsidRDefault="00FF560A" w:rsidP="00EF4B8F">
      <w:pPr>
        <w:pStyle w:val="tx"/>
      </w:pPr>
      <w:r w:rsidRPr="008F21B7">
        <w:t>A realistic assessment of the possibility of significant change is something that I think the Netter Center (at least when I was a student there) could do a better job of holding as a value and conveying to its students. University faculty and students are not going to be able to solve the problems of racial capitalism and neoliberal urbanism. We will not be able to overturn two centuries and counting of disparity between wealthy anchor institutions and the communities that surround them that struggle to survive and thrive. As much as I endorse Ira Harkavy’s vision of a radically transformed urban university</w:t>
      </w:r>
      <w:r w:rsidR="00FD0828">
        <w:t>,</w:t>
      </w:r>
      <w:r w:rsidRPr="00EF4B8F">
        <w:rPr>
          <w:rStyle w:val="enref"/>
        </w:rPr>
        <w:endnoteReference w:id="3"/>
      </w:r>
      <w:r w:rsidRPr="008F21B7">
        <w:t xml:space="preserve"> it is important while we wait for this transformation not to mislead faculty and students (particularly undergraduates) about the importance of their contributions in isolation. Sure, they can make meaningful contributions that stand the test of time. (I am thinking of the Agatston Urban Nutrition Initiative, or even the Rotunda, as examples.) But even with successful partnerships, we need to remain realistic about how much we can accomplish in a wildly inequitable urban environment.</w:t>
      </w:r>
    </w:p>
    <w:p w14:paraId="58C5CE6B" w14:textId="32897726" w:rsidR="00FF560A" w:rsidRPr="008F21B7" w:rsidRDefault="00FF560A" w:rsidP="00EF4B8F">
      <w:pPr>
        <w:pStyle w:val="tx"/>
      </w:pPr>
      <w:r w:rsidRPr="008F21B7">
        <w:t>A focus on people’s ability to do and be what they are destined to do and be</w:t>
      </w:r>
      <w:r>
        <w:t>—</w:t>
      </w:r>
      <w:r w:rsidRPr="008F21B7">
        <w:t xml:space="preserve">an approach to human thriving pioneered conceptually by </w:t>
      </w:r>
      <w:commentRangeStart w:id="0"/>
      <w:commentRangeStart w:id="1"/>
      <w:r w:rsidRPr="008F21B7">
        <w:t xml:space="preserve">Amartya Sen </w:t>
      </w:r>
      <w:commentRangeEnd w:id="0"/>
      <w:r w:rsidR="00FD0828">
        <w:rPr>
          <w:rStyle w:val="CommentReference"/>
          <w:rFonts w:asciiTheme="minorHAnsi" w:hAnsiTheme="minorHAnsi"/>
        </w:rPr>
        <w:commentReference w:id="0"/>
      </w:r>
      <w:commentRangeEnd w:id="1"/>
      <w:r w:rsidR="00C35499">
        <w:rPr>
          <w:rStyle w:val="CommentReference"/>
          <w:rFonts w:asciiTheme="minorHAnsi" w:hAnsiTheme="minorHAnsi"/>
        </w:rPr>
        <w:commentReference w:id="1"/>
      </w:r>
      <w:r w:rsidRPr="008F21B7">
        <w:t>and Martha Nussbaum</w:t>
      </w:r>
      <w:r w:rsidRPr="00EF4B8F">
        <w:rPr>
          <w:rStyle w:val="enref"/>
        </w:rPr>
        <w:endnoteReference w:id="4"/>
      </w:r>
      <w:r>
        <w:t>—</w:t>
      </w:r>
      <w:r w:rsidRPr="008F21B7">
        <w:t xml:space="preserve">can </w:t>
      </w:r>
      <w:proofErr w:type="gramStart"/>
      <w:r w:rsidRPr="008F21B7">
        <w:t>actually be</w:t>
      </w:r>
      <w:proofErr w:type="gramEnd"/>
      <w:r w:rsidRPr="008F21B7">
        <w:t xml:space="preserve"> taken as a lesson from the Netter Center’s work and from the whole movement for </w:t>
      </w:r>
      <w:r w:rsidR="00AD0835">
        <w:t>c</w:t>
      </w:r>
      <w:r w:rsidRPr="008F21B7">
        <w:t>ommunity-</w:t>
      </w:r>
      <w:r w:rsidR="00AD0835">
        <w:t>e</w:t>
      </w:r>
      <w:r w:rsidRPr="008F21B7">
        <w:t xml:space="preserve">ngaged </w:t>
      </w:r>
      <w:r w:rsidR="00AD0835">
        <w:t>s</w:t>
      </w:r>
      <w:r w:rsidRPr="008F21B7">
        <w:t xml:space="preserve">cholarship. We need to create the conditions for partnership that allow people the freedom to express what </w:t>
      </w:r>
      <w:r w:rsidRPr="00EF4B8F">
        <w:rPr>
          <w:rStyle w:val="i"/>
        </w:rPr>
        <w:t>they</w:t>
      </w:r>
      <w:r w:rsidRPr="008F21B7">
        <w:t xml:space="preserve"> would like to know about their communities, what </w:t>
      </w:r>
      <w:r w:rsidRPr="00EF4B8F">
        <w:rPr>
          <w:rStyle w:val="i"/>
        </w:rPr>
        <w:t xml:space="preserve">they </w:t>
      </w:r>
      <w:r w:rsidRPr="008F21B7">
        <w:t xml:space="preserve">would like to see researchers focus on, and the ways in which the university can be of service to </w:t>
      </w:r>
      <w:r w:rsidRPr="00EF4B8F">
        <w:rPr>
          <w:rStyle w:val="i"/>
        </w:rPr>
        <w:t>their</w:t>
      </w:r>
      <w:r w:rsidRPr="008F21B7">
        <w:t xml:space="preserve"> priorities. This reframing of research, teaching, and partnership would radically recenter the demands and desires of community members and challenge the status quo. I believe the Rotunda has been successful because it is community</w:t>
      </w:r>
      <w:r w:rsidR="001B451F">
        <w:t xml:space="preserve"> </w:t>
      </w:r>
      <w:r w:rsidRPr="008F21B7">
        <w:t xml:space="preserve">driven, without an editorial agenda or ideological stance on the part of the university. </w:t>
      </w:r>
    </w:p>
    <w:p w14:paraId="378CC35A" w14:textId="2FFB937A" w:rsidR="00FF560A" w:rsidRPr="008F21B7" w:rsidRDefault="00FF560A" w:rsidP="00EF4B8F">
      <w:pPr>
        <w:pStyle w:val="tx"/>
      </w:pPr>
      <w:r w:rsidRPr="008F21B7">
        <w:lastRenderedPageBreak/>
        <w:t xml:space="preserve">Of course, approaches like these are not always possible, especially in this increasingly reactionary and antidemocratic moment in which we find ourselves today. They are reliant on critical approaches </w:t>
      </w:r>
      <w:r w:rsidR="001B451F">
        <w:t>that</w:t>
      </w:r>
      <w:r w:rsidR="001B451F" w:rsidRPr="008F21B7">
        <w:t xml:space="preserve"> </w:t>
      </w:r>
      <w:r w:rsidRPr="008F21B7">
        <w:t xml:space="preserve">are not always accepted and </w:t>
      </w:r>
      <w:r w:rsidR="001B451F">
        <w:t>that</w:t>
      </w:r>
      <w:r w:rsidR="001B451F" w:rsidRPr="008F21B7">
        <w:t xml:space="preserve"> </w:t>
      </w:r>
      <w:r w:rsidRPr="008F21B7">
        <w:t xml:space="preserve">are now in some places derided as “woke” </w:t>
      </w:r>
      <w:r w:rsidR="001B451F">
        <w:t xml:space="preserve">and </w:t>
      </w:r>
      <w:r w:rsidRPr="008F21B7">
        <w:t>demonized and banned. So, while I am sanguine about my own role in doing this work in Philadelphia over the next many years, I am concerned for my colleagues in conservative areas who must fight not only the issues I raised above but also the broader political climate in which they find themselves working.</w:t>
      </w:r>
    </w:p>
    <w:p w14:paraId="2E2F1D6D" w14:textId="1926F7DA" w:rsidR="00FF560A" w:rsidRPr="008F21B7" w:rsidRDefault="00FF560A" w:rsidP="00EF4B8F">
      <w:pPr>
        <w:pStyle w:val="tx"/>
      </w:pPr>
      <w:r w:rsidRPr="008F21B7">
        <w:t>Finally, I want to speak to the question of why I do this work. For me, the field of urbanism and urban studies depends on active, sustained, reciprocal engagement with communities of interest or identity and geographic communities. Universities cannot train the next generation of urbanists without engaging in real-world, collective problem</w:t>
      </w:r>
      <w:r w:rsidR="001B451F">
        <w:t>-</w:t>
      </w:r>
      <w:r w:rsidRPr="008F21B7">
        <w:t>solving. I am familiar from my own training as an urban planner with the form of expertise that generates scads of data which it foists on community representatives to demand that they agree to the terms of engagement set by the planner, architect, city official, or developer on the assumption that the data marshaled by the expert has the force of superior argument. In these interactions, local, embedded knowledge is forsaken</w:t>
      </w:r>
      <w:r w:rsidR="009962AB">
        <w:t>;</w:t>
      </w:r>
      <w:r w:rsidRPr="008F21B7">
        <w:t xml:space="preserve"> historical oppressions and injustices are swept under the rug</w:t>
      </w:r>
      <w:r w:rsidR="009962AB">
        <w:t>;</w:t>
      </w:r>
      <w:r w:rsidRPr="008F21B7">
        <w:t xml:space="preserve"> and the mutual cocreation of place is denied. To train urbanists as I have been trained myself through my engagement with the Netter Center is to see multiple forms of knowledge and experience as essential to community development and urban planning. It means teaching students how to know themselves and their strengths and weaknesses so they can equitably engage with others across a power differential and make meaningful strides toward spatial and social justice. </w:t>
      </w:r>
    </w:p>
    <w:p w14:paraId="0B828BDA" w14:textId="65D275FD" w:rsidR="00E22F4B" w:rsidRDefault="00FF560A" w:rsidP="00EF4B8F">
      <w:pPr>
        <w:pStyle w:val="tx"/>
      </w:pPr>
      <w:r w:rsidRPr="008F21B7">
        <w:t>I intend to continue this work as both a scholar and a teacher in the future because I believe the future of our cities depends on this form of dialogic practice. Community engagement has not only enabled me to grow personally in both humility and empathy. It has also taught me more about the realpolitik of civic process than the idealized but unrealistic theories my professors promoted in grad school, which ignored the needs and desires of local communities and enabled the whims of the powerful to prevail. These are the rewards of community-based learning and scholarship as I see them in my own evolving practice.</w:t>
      </w:r>
    </w:p>
    <w:sectPr w:rsidR="00E22F4B" w:rsidSect="00FF560A">
      <w:headerReference w:type="default" r:id="rId11"/>
      <w:footerReference w:type="even" r:id="rId12"/>
      <w:footerReference w:type="default" r:id="rId13"/>
      <w:endnotePr>
        <w:numFmt w:val="decimal"/>
      </w:endnotePr>
      <w:pgSz w:w="12240" w:h="15840"/>
      <w:pgMar w:top="1440" w:right="1440" w:bottom="1440" w:left="1440" w:header="720" w:footer="720" w:gutter="0"/>
      <w:pgNumType w:start="13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pat wieland" w:date="2024-07-01T10:54:00Z" w:initials="pw">
    <w:p w14:paraId="7274FA4B" w14:textId="76B6A503" w:rsidR="00FD0828" w:rsidRDefault="00FD0828">
      <w:pPr>
        <w:pStyle w:val="CommentText"/>
      </w:pPr>
      <w:r>
        <w:rPr>
          <w:rStyle w:val="CommentReference"/>
        </w:rPr>
        <w:annotationRef/>
      </w:r>
      <w:r>
        <w:t xml:space="preserve">AU: Sen is not mentioned in the endnote. Should </w:t>
      </w:r>
      <w:r w:rsidR="001B451F">
        <w:t>a Sen publication or talk be included there?</w:t>
      </w:r>
    </w:p>
  </w:comment>
  <w:comment w:id="1" w:author="Zitcer,Andrew" w:date="2024-07-24T10:49:00Z" w:initials="AZ">
    <w:p w14:paraId="5E7CAF5C" w14:textId="77777777" w:rsidR="00C35499" w:rsidRDefault="00C35499" w:rsidP="00C35499">
      <w:r>
        <w:rPr>
          <w:rStyle w:val="CommentReference"/>
        </w:rPr>
        <w:annotationRef/>
      </w:r>
      <w:r>
        <w:rPr>
          <w:color w:val="000000"/>
          <w:sz w:val="20"/>
          <w:szCs w:val="20"/>
        </w:rPr>
        <w:t>Yes, you can include this:</w:t>
      </w:r>
    </w:p>
    <w:p w14:paraId="447D17B4" w14:textId="77777777" w:rsidR="00C35499" w:rsidRDefault="00C35499" w:rsidP="00C35499">
      <w:r>
        <w:rPr>
          <w:color w:val="000000"/>
          <w:sz w:val="20"/>
          <w:szCs w:val="20"/>
        </w:rPr>
        <w:t>Sen, Amartya. “Development as Capability Expansion.” In Human Development and the International Development Strategy for the 1990s, edited by Keith B Griffin and John B Knight, 41–58. Basingstoke: Macmillan, 1990.</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274FA4B" w15:done="0"/>
  <w15:commentEx w15:paraId="447D17B4" w15:paraIdParent="7274FA4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E762232" w16cex:dateUtc="2024-07-01T16:54:00Z"/>
  <w16cex:commentExtensible w16cex:durableId="589E445A" w16cex:dateUtc="2024-07-24T14: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274FA4B" w16cid:durableId="3E762232"/>
  <w16cid:commentId w16cid:paraId="447D17B4" w16cid:durableId="589E445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9B6F4" w14:textId="77777777" w:rsidR="00D34D24" w:rsidRDefault="00D34D24" w:rsidP="00FF560A">
      <w:r>
        <w:separator/>
      </w:r>
    </w:p>
  </w:endnote>
  <w:endnote w:type="continuationSeparator" w:id="0">
    <w:p w14:paraId="2423208B" w14:textId="77777777" w:rsidR="00D34D24" w:rsidRDefault="00D34D24" w:rsidP="00FF560A">
      <w:r>
        <w:continuationSeparator/>
      </w:r>
    </w:p>
  </w:endnote>
  <w:endnote w:id="1">
    <w:p w14:paraId="769183F2" w14:textId="0015535A" w:rsidR="00FF560A" w:rsidRPr="00EF4B8F" w:rsidRDefault="00FF560A" w:rsidP="00EF4B8F">
      <w:pPr>
        <w:pStyle w:val="en"/>
        <w:rPr>
          <w:szCs w:val="20"/>
        </w:rPr>
      </w:pPr>
      <w:r w:rsidRPr="00EF4B8F">
        <w:rPr>
          <w:rStyle w:val="ennum"/>
          <w:szCs w:val="20"/>
        </w:rPr>
        <w:endnoteRef/>
      </w:r>
      <w:r w:rsidRPr="00EF4B8F">
        <w:rPr>
          <w:szCs w:val="20"/>
        </w:rPr>
        <w:t xml:space="preserve"> Laura Wolf-Powers, </w:t>
      </w:r>
      <w:r w:rsidRPr="00EF4B8F">
        <w:rPr>
          <w:rStyle w:val="i"/>
          <w:szCs w:val="20"/>
        </w:rPr>
        <w:t>University City: History, Race, and Community in the Era of the Innovation District</w:t>
      </w:r>
      <w:r w:rsidRPr="00EF4B8F">
        <w:rPr>
          <w:szCs w:val="20"/>
        </w:rPr>
        <w:t xml:space="preserve"> (Philadelphia: University of Pennsylvania Press, 2022); John L. Puckett and Mark Frazier Lloyd, </w:t>
      </w:r>
      <w:r w:rsidRPr="00EF4B8F">
        <w:rPr>
          <w:rStyle w:val="i"/>
          <w:szCs w:val="20"/>
        </w:rPr>
        <w:t>Becoming Penn: The Pragmatic American University, 1950</w:t>
      </w:r>
      <w:r w:rsidR="009962AB">
        <w:rPr>
          <w:rStyle w:val="i"/>
          <w:szCs w:val="20"/>
        </w:rPr>
        <w:t>–</w:t>
      </w:r>
      <w:r w:rsidRPr="00EF4B8F">
        <w:rPr>
          <w:rStyle w:val="i"/>
          <w:szCs w:val="20"/>
        </w:rPr>
        <w:t>2000</w:t>
      </w:r>
      <w:r w:rsidRPr="00EF4B8F">
        <w:rPr>
          <w:szCs w:val="20"/>
        </w:rPr>
        <w:t xml:space="preserve">, Haney Foundation Series (Philadelphia: University of Pennsylvania Press, 2015); Harley F. Etienne, </w:t>
      </w:r>
      <w:r w:rsidRPr="00EF4B8F">
        <w:rPr>
          <w:rStyle w:val="i"/>
          <w:szCs w:val="20"/>
        </w:rPr>
        <w:t>Pushing Back the Gates: Neighborhood Perspectives on University-Driven Revitalization in West Philadelphia</w:t>
      </w:r>
      <w:r w:rsidRPr="00EF4B8F">
        <w:rPr>
          <w:szCs w:val="20"/>
        </w:rPr>
        <w:t xml:space="preserve">, </w:t>
      </w:r>
      <w:r w:rsidR="009962AB">
        <w:rPr>
          <w:szCs w:val="20"/>
        </w:rPr>
        <w:t>repr. ed.</w:t>
      </w:r>
      <w:r w:rsidRPr="00EF4B8F">
        <w:rPr>
          <w:szCs w:val="20"/>
        </w:rPr>
        <w:t xml:space="preserve"> (Philadelphia: Temple University Press, 2013).</w:t>
      </w:r>
    </w:p>
  </w:endnote>
  <w:endnote w:id="2">
    <w:p w14:paraId="477FCBAE" w14:textId="7A6801B1" w:rsidR="00FF560A" w:rsidRPr="00394944" w:rsidRDefault="00FF560A" w:rsidP="00EF4B8F">
      <w:pPr>
        <w:pStyle w:val="en"/>
        <w:rPr>
          <w:b/>
          <w:bCs/>
          <w:szCs w:val="20"/>
        </w:rPr>
      </w:pPr>
      <w:r w:rsidRPr="00EF4B8F">
        <w:rPr>
          <w:rStyle w:val="ennum"/>
          <w:szCs w:val="20"/>
        </w:rPr>
        <w:endnoteRef/>
      </w:r>
      <w:r w:rsidRPr="00EF4B8F">
        <w:rPr>
          <w:szCs w:val="20"/>
        </w:rPr>
        <w:t xml:space="preserve"> John Kromer and Lucy Kerman, </w:t>
      </w:r>
      <w:r w:rsidRPr="00394944">
        <w:rPr>
          <w:rStyle w:val="i"/>
        </w:rPr>
        <w:t>West Philadelphia Initiatives: A Case Study in Urban Revitalization</w:t>
      </w:r>
      <w:r w:rsidR="009962AB">
        <w:rPr>
          <w:szCs w:val="20"/>
        </w:rPr>
        <w:t>,</w:t>
      </w:r>
      <w:r w:rsidRPr="00EF4B8F">
        <w:rPr>
          <w:szCs w:val="20"/>
        </w:rPr>
        <w:t xml:space="preserve"> (</w:t>
      </w:r>
      <w:r w:rsidR="00617348">
        <w:rPr>
          <w:szCs w:val="20"/>
        </w:rPr>
        <w:t>Philadelphia:</w:t>
      </w:r>
      <w:r w:rsidRPr="00EF4B8F">
        <w:rPr>
          <w:szCs w:val="20"/>
        </w:rPr>
        <w:t xml:space="preserve"> University of Pennsylvania</w:t>
      </w:r>
      <w:r w:rsidR="009962AB">
        <w:rPr>
          <w:szCs w:val="20"/>
        </w:rPr>
        <w:t>,</w:t>
      </w:r>
      <w:r w:rsidRPr="00EF4B8F">
        <w:rPr>
          <w:szCs w:val="20"/>
        </w:rPr>
        <w:t xml:space="preserve"> Fels Institute of Government, 2004</w:t>
      </w:r>
      <w:r w:rsidRPr="00EF4B8F">
        <w:rPr>
          <w:szCs w:val="20"/>
        </w:rPr>
        <w:t xml:space="preserve">),; Judith Rodin, </w:t>
      </w:r>
      <w:r w:rsidRPr="00EF4B8F">
        <w:rPr>
          <w:rStyle w:val="i"/>
          <w:szCs w:val="20"/>
        </w:rPr>
        <w:t xml:space="preserve">The University and Urban Revival: Out of the Ivory Tower and </w:t>
      </w:r>
      <w:r w:rsidR="00617348">
        <w:rPr>
          <w:rStyle w:val="i"/>
          <w:szCs w:val="20"/>
        </w:rPr>
        <w:t>i</w:t>
      </w:r>
      <w:r w:rsidRPr="00EF4B8F">
        <w:rPr>
          <w:rStyle w:val="i"/>
          <w:szCs w:val="20"/>
        </w:rPr>
        <w:t>nto the Streets</w:t>
      </w:r>
      <w:r w:rsidRPr="00EF4B8F">
        <w:rPr>
          <w:szCs w:val="20"/>
        </w:rPr>
        <w:t xml:space="preserve"> (</w:t>
      </w:r>
      <w:r w:rsidR="00617348">
        <w:rPr>
          <w:szCs w:val="20"/>
        </w:rPr>
        <w:t xml:space="preserve">Philadelphia: </w:t>
      </w:r>
      <w:r w:rsidRPr="00EF4B8F">
        <w:rPr>
          <w:szCs w:val="20"/>
        </w:rPr>
        <w:t>University of Pennsylvania Press, 2007).</w:t>
      </w:r>
      <w:r w:rsidR="00617348">
        <w:rPr>
          <w:szCs w:val="20"/>
        </w:rPr>
        <w:t xml:space="preserve"> </w:t>
      </w:r>
      <w:r w:rsidR="00617348">
        <w:rPr>
          <w:b/>
          <w:bCs/>
          <w:szCs w:val="20"/>
        </w:rPr>
        <w:t xml:space="preserve">&lt;AU: regarding Kromer and Kerman, it doesn’t appear that Annie E. Casey was one of the publishers, and the URL you provided is no longer functional. Would this URL be a good alternative? </w:t>
      </w:r>
      <w:r w:rsidR="00617348" w:rsidRPr="00617348">
        <w:rPr>
          <w:b/>
          <w:bCs/>
          <w:szCs w:val="20"/>
        </w:rPr>
        <w:t>philadelphiabattlefields.org/wp-content/uploads/2020/05/WESTPHILADELPHIAINITIATIVES.pdf</w:t>
      </w:r>
      <w:r w:rsidR="00617348">
        <w:rPr>
          <w:b/>
          <w:bCs/>
          <w:szCs w:val="20"/>
        </w:rPr>
        <w:t>&gt;</w:t>
      </w:r>
    </w:p>
  </w:endnote>
  <w:endnote w:id="3">
    <w:p w14:paraId="0CB5BA4A" w14:textId="18FBD7DF" w:rsidR="00FF560A" w:rsidRPr="00EF4B8F" w:rsidRDefault="00FF560A" w:rsidP="00EF4B8F">
      <w:pPr>
        <w:pStyle w:val="en"/>
        <w:rPr>
          <w:szCs w:val="20"/>
        </w:rPr>
      </w:pPr>
      <w:r w:rsidRPr="00EF4B8F">
        <w:rPr>
          <w:rStyle w:val="ennum"/>
          <w:szCs w:val="20"/>
        </w:rPr>
        <w:endnoteRef/>
      </w:r>
      <w:r w:rsidRPr="00EF4B8F">
        <w:rPr>
          <w:szCs w:val="20"/>
        </w:rPr>
        <w:t xml:space="preserve"> Ira </w:t>
      </w:r>
      <w:r w:rsidRPr="00EF4B8F">
        <w:rPr>
          <w:szCs w:val="20"/>
        </w:rPr>
        <w:t xml:space="preserve">Harkavy, “Dewey, Implementation, and Creating a Democratic Civic University,” </w:t>
      </w:r>
      <w:r w:rsidRPr="00EF4B8F">
        <w:rPr>
          <w:rStyle w:val="i"/>
          <w:szCs w:val="20"/>
        </w:rPr>
        <w:t>Pluralist</w:t>
      </w:r>
      <w:r w:rsidRPr="00EF4B8F">
        <w:rPr>
          <w:szCs w:val="20"/>
        </w:rPr>
        <w:t xml:space="preserve"> 18, no. 1 (Apr</w:t>
      </w:r>
      <w:r w:rsidR="00617348">
        <w:rPr>
          <w:szCs w:val="20"/>
        </w:rPr>
        <w:t>.</w:t>
      </w:r>
      <w:r w:rsidRPr="00EF4B8F">
        <w:rPr>
          <w:szCs w:val="20"/>
        </w:rPr>
        <w:t xml:space="preserve"> 1, 2023): 49–75, </w:t>
      </w:r>
      <w:r w:rsidRPr="00EF4B8F">
        <w:rPr>
          <w:rStyle w:val="url"/>
          <w:szCs w:val="20"/>
        </w:rPr>
        <w:t>doi.org/10.5406/19446489.18.1.06</w:t>
      </w:r>
      <w:r w:rsidRPr="00EF4B8F">
        <w:rPr>
          <w:szCs w:val="20"/>
        </w:rPr>
        <w:t xml:space="preserve">. </w:t>
      </w:r>
    </w:p>
  </w:endnote>
  <w:endnote w:id="4">
    <w:p w14:paraId="32B867D3" w14:textId="7518CBC1" w:rsidR="00FF560A" w:rsidRPr="00EF4B8F" w:rsidRDefault="00FF560A" w:rsidP="00EF4B8F">
      <w:pPr>
        <w:pStyle w:val="en"/>
        <w:rPr>
          <w:szCs w:val="20"/>
        </w:rPr>
      </w:pPr>
      <w:r w:rsidRPr="00EF4B8F">
        <w:rPr>
          <w:rStyle w:val="ennum"/>
          <w:szCs w:val="20"/>
        </w:rPr>
        <w:endnoteRef/>
      </w:r>
      <w:r w:rsidRPr="00EF4B8F">
        <w:rPr>
          <w:szCs w:val="20"/>
        </w:rPr>
        <w:t xml:space="preserve"> Martha C. Nussbaum, </w:t>
      </w:r>
      <w:r w:rsidRPr="00EF4B8F">
        <w:rPr>
          <w:rStyle w:val="i"/>
          <w:szCs w:val="20"/>
        </w:rPr>
        <w:t>Creating Capabilities: The Human Development Approach</w:t>
      </w:r>
      <w:r w:rsidRPr="00EF4B8F">
        <w:rPr>
          <w:szCs w:val="20"/>
        </w:rPr>
        <w:t xml:space="preserve"> (Cambridge, M</w:t>
      </w:r>
      <w:r w:rsidR="00617348">
        <w:rPr>
          <w:szCs w:val="20"/>
        </w:rPr>
        <w:t>A</w:t>
      </w:r>
      <w:r w:rsidRPr="00EF4B8F">
        <w:rPr>
          <w:szCs w:val="20"/>
        </w:rPr>
        <w:t xml:space="preserve">: Belknap, 2011), </w:t>
      </w:r>
      <w:r w:rsidRPr="00EF4B8F">
        <w:rPr>
          <w:rStyle w:val="url"/>
          <w:szCs w:val="20"/>
        </w:rPr>
        <w:t>site.ebrary.com/id/10488676</w:t>
      </w:r>
      <w:r w:rsidRPr="00EF4B8F">
        <w:rPr>
          <w:szCs w:val="20"/>
        </w:rPr>
        <w:t xml:space="preserve">; Andrew </w:t>
      </w:r>
      <w:r w:rsidRPr="00EF4B8F">
        <w:rPr>
          <w:szCs w:val="20"/>
        </w:rPr>
        <w:t xml:space="preserve">Zitcer, Julie Hawkins, and Neville Vakharia, “A Capabilities Approach to Arts and Culture? Theorizing Community Development in West Philadelphia,” </w:t>
      </w:r>
      <w:r w:rsidRPr="00EF4B8F">
        <w:rPr>
          <w:rStyle w:val="i"/>
          <w:szCs w:val="20"/>
        </w:rPr>
        <w:t>Planning Theory &amp; Practice</w:t>
      </w:r>
      <w:r w:rsidRPr="00EF4B8F">
        <w:rPr>
          <w:szCs w:val="20"/>
        </w:rPr>
        <w:t xml:space="preserve"> 17, no. 1 (2016): 35–51.</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80226114"/>
      <w:docPartObj>
        <w:docPartGallery w:val="Page Numbers (Bottom of Page)"/>
        <w:docPartUnique/>
      </w:docPartObj>
    </w:sdtPr>
    <w:sdtContent>
      <w:p w14:paraId="05A17144" w14:textId="77777777" w:rsidR="00E34AAD" w:rsidRDefault="00000000" w:rsidP="00D043E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8302DD" w14:textId="77777777" w:rsidR="00E34AAD" w:rsidRDefault="00E34AAD" w:rsidP="00C02F3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E7E30" w14:textId="77777777" w:rsidR="00E34AAD" w:rsidRDefault="00E34AAD" w:rsidP="00C02F3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678220" w14:textId="77777777" w:rsidR="00D34D24" w:rsidRDefault="00D34D24" w:rsidP="00FF560A">
      <w:r>
        <w:separator/>
      </w:r>
    </w:p>
  </w:footnote>
  <w:footnote w:type="continuationSeparator" w:id="0">
    <w:p w14:paraId="67F1A4AC" w14:textId="77777777" w:rsidR="00D34D24" w:rsidRDefault="00D34D24" w:rsidP="00FF56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3D34E" w14:textId="77777777" w:rsidR="00E34AAD" w:rsidRPr="0053603D" w:rsidRDefault="00000000">
    <w:pPr>
      <w:pStyle w:val="Header"/>
      <w:jc w:val="right"/>
      <w:rPr>
        <w:rFonts w:ascii="Times New Roman" w:hAnsi="Times New Roman" w:cs="Times New Roman"/>
      </w:rPr>
    </w:pPr>
    <w:r>
      <w:rPr>
        <w:rFonts w:ascii="Times New Roman" w:hAnsi="Times New Roman" w:cs="Times New Roman"/>
      </w:rPr>
      <w:t xml:space="preserve">Hodges and Zuckerman </w:t>
    </w:r>
    <w:r w:rsidRPr="0053603D">
      <w:rPr>
        <w:rFonts w:ascii="Times New Roman" w:hAnsi="Times New Roman" w:cs="Times New Roman"/>
      </w:rPr>
      <w:t xml:space="preserve">Chapter 8 </w:t>
    </w:r>
    <w:sdt>
      <w:sdtPr>
        <w:rPr>
          <w:rFonts w:ascii="Times New Roman" w:hAnsi="Times New Roman" w:cs="Times New Roman"/>
        </w:rPr>
        <w:id w:val="-50311541"/>
        <w:docPartObj>
          <w:docPartGallery w:val="Page Numbers (Top of Page)"/>
          <w:docPartUnique/>
        </w:docPartObj>
      </w:sdtPr>
      <w:sdtEndPr>
        <w:rPr>
          <w:noProof/>
        </w:rPr>
      </w:sdtEndPr>
      <w:sdtContent>
        <w:proofErr w:type="spellStart"/>
        <w:r>
          <w:rPr>
            <w:rFonts w:ascii="Times New Roman" w:hAnsi="Times New Roman" w:cs="Times New Roman"/>
          </w:rPr>
          <w:t>Zitcer</w:t>
        </w:r>
        <w:proofErr w:type="spellEnd"/>
        <w:r>
          <w:rPr>
            <w:rFonts w:ascii="Times New Roman" w:hAnsi="Times New Roman" w:cs="Times New Roman"/>
          </w:rPr>
          <w:t xml:space="preserve"> </w:t>
        </w:r>
        <w:r w:rsidRPr="0053603D">
          <w:rPr>
            <w:rFonts w:ascii="Times New Roman" w:hAnsi="Times New Roman" w:cs="Times New Roman"/>
          </w:rPr>
          <w:fldChar w:fldCharType="begin"/>
        </w:r>
        <w:r w:rsidRPr="0053603D">
          <w:rPr>
            <w:rFonts w:ascii="Times New Roman" w:hAnsi="Times New Roman" w:cs="Times New Roman"/>
          </w:rPr>
          <w:instrText xml:space="preserve"> PAGE   \* MERGEFORMAT </w:instrText>
        </w:r>
        <w:r w:rsidRPr="0053603D">
          <w:rPr>
            <w:rFonts w:ascii="Times New Roman" w:hAnsi="Times New Roman" w:cs="Times New Roman"/>
          </w:rPr>
          <w:fldChar w:fldCharType="separate"/>
        </w:r>
        <w:r w:rsidRPr="0053603D">
          <w:rPr>
            <w:rFonts w:ascii="Times New Roman" w:hAnsi="Times New Roman" w:cs="Times New Roman"/>
            <w:noProof/>
          </w:rPr>
          <w:t>2</w:t>
        </w:r>
        <w:r w:rsidRPr="0053603D">
          <w:rPr>
            <w:rFonts w:ascii="Times New Roman" w:hAnsi="Times New Roman" w:cs="Times New Roman"/>
            <w:noProof/>
          </w:rPr>
          <w:fldChar w:fldCharType="end"/>
        </w:r>
      </w:sdtContent>
    </w:sdt>
  </w:p>
  <w:p w14:paraId="617E4661" w14:textId="77777777" w:rsidR="00E34AAD" w:rsidRDefault="00E34A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32EBCC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7B260A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FAFD2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1C2B1E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B8E2B9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AB2BBF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8CA3EF2"/>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CEE3F0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0DA679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ACED42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792509A"/>
    <w:multiLevelType w:val="hybridMultilevel"/>
    <w:tmpl w:val="DC8A58EE"/>
    <w:lvl w:ilvl="0" w:tplc="7DAE1FCC">
      <w:start w:val="1"/>
      <w:numFmt w:val="bullet"/>
      <w:pStyle w:val="bl"/>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0794343">
    <w:abstractNumId w:val="9"/>
  </w:num>
  <w:num w:numId="2" w16cid:durableId="654722207">
    <w:abstractNumId w:val="10"/>
  </w:num>
  <w:num w:numId="3" w16cid:durableId="1092552367">
    <w:abstractNumId w:val="8"/>
  </w:num>
  <w:num w:numId="4" w16cid:durableId="1346713525">
    <w:abstractNumId w:val="3"/>
  </w:num>
  <w:num w:numId="5" w16cid:durableId="1992826547">
    <w:abstractNumId w:val="2"/>
  </w:num>
  <w:num w:numId="6" w16cid:durableId="1819423434">
    <w:abstractNumId w:val="0"/>
  </w:num>
  <w:num w:numId="7" w16cid:durableId="1716584520">
    <w:abstractNumId w:val="1"/>
  </w:num>
  <w:num w:numId="8" w16cid:durableId="865413351">
    <w:abstractNumId w:val="4"/>
  </w:num>
  <w:num w:numId="9" w16cid:durableId="1595089797">
    <w:abstractNumId w:val="5"/>
  </w:num>
  <w:num w:numId="10" w16cid:durableId="822426853">
    <w:abstractNumId w:val="6"/>
  </w:num>
  <w:num w:numId="11" w16cid:durableId="155611837">
    <w:abstractNumId w:val="7"/>
  </w:num>
  <w:numIdMacAtCleanup w:val="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at wieland">
    <w15:presenceInfo w15:providerId="Windows Live" w15:userId="bb608a06a7836f4d"/>
  </w15:person>
  <w15:person w15:author="Zitcer,Andrew">
    <w15:presenceInfo w15:providerId="AD" w15:userId="S::awz25@drexel.edu::7927bdc5-559c-40d4-9347-4263cc7f9c1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60A"/>
    <w:rsid w:val="000237C4"/>
    <w:rsid w:val="00053DCD"/>
    <w:rsid w:val="000726BB"/>
    <w:rsid w:val="000850AB"/>
    <w:rsid w:val="000C599B"/>
    <w:rsid w:val="000F25BD"/>
    <w:rsid w:val="00135FA9"/>
    <w:rsid w:val="001B451F"/>
    <w:rsid w:val="00210CD5"/>
    <w:rsid w:val="002A2A27"/>
    <w:rsid w:val="00394944"/>
    <w:rsid w:val="004E235D"/>
    <w:rsid w:val="005E13AB"/>
    <w:rsid w:val="0060208C"/>
    <w:rsid w:val="00617348"/>
    <w:rsid w:val="00623D47"/>
    <w:rsid w:val="00647184"/>
    <w:rsid w:val="006855B3"/>
    <w:rsid w:val="00690F06"/>
    <w:rsid w:val="006A0AAB"/>
    <w:rsid w:val="006F16F1"/>
    <w:rsid w:val="007C3619"/>
    <w:rsid w:val="007F3AD5"/>
    <w:rsid w:val="00895DAE"/>
    <w:rsid w:val="008A4526"/>
    <w:rsid w:val="009962AB"/>
    <w:rsid w:val="009D09AA"/>
    <w:rsid w:val="009F1EE6"/>
    <w:rsid w:val="00A02ACD"/>
    <w:rsid w:val="00A14436"/>
    <w:rsid w:val="00A44798"/>
    <w:rsid w:val="00AD0835"/>
    <w:rsid w:val="00AE5CF7"/>
    <w:rsid w:val="00B67426"/>
    <w:rsid w:val="00B84EFD"/>
    <w:rsid w:val="00BF3B5E"/>
    <w:rsid w:val="00C35499"/>
    <w:rsid w:val="00C37D77"/>
    <w:rsid w:val="00C63F41"/>
    <w:rsid w:val="00CF5653"/>
    <w:rsid w:val="00D34D24"/>
    <w:rsid w:val="00D46458"/>
    <w:rsid w:val="00D7215F"/>
    <w:rsid w:val="00D76A40"/>
    <w:rsid w:val="00DF323A"/>
    <w:rsid w:val="00E15E0F"/>
    <w:rsid w:val="00E214DE"/>
    <w:rsid w:val="00E22F4B"/>
    <w:rsid w:val="00E277EE"/>
    <w:rsid w:val="00E34AAD"/>
    <w:rsid w:val="00E50869"/>
    <w:rsid w:val="00E54B44"/>
    <w:rsid w:val="00EE3574"/>
    <w:rsid w:val="00EE68B0"/>
    <w:rsid w:val="00EF4B8F"/>
    <w:rsid w:val="00F117A7"/>
    <w:rsid w:val="00F2225C"/>
    <w:rsid w:val="00F36E68"/>
    <w:rsid w:val="00F40730"/>
    <w:rsid w:val="00F95422"/>
    <w:rsid w:val="00FD0828"/>
    <w:rsid w:val="00FD33B2"/>
    <w:rsid w:val="00FF56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B761BA"/>
  <w15:docId w15:val="{CC6E88A7-CC50-BC45-97CC-9546DFD58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560A"/>
  </w:style>
  <w:style w:type="paragraph" w:styleId="Heading1">
    <w:name w:val="heading 1"/>
    <w:next w:val="tx"/>
    <w:link w:val="Heading1Char"/>
    <w:uiPriority w:val="9"/>
    <w:rsid w:val="00E50869"/>
    <w:pPr>
      <w:keepNext/>
      <w:keepLines/>
      <w:spacing w:before="240"/>
      <w:outlineLvl w:val="0"/>
    </w:pPr>
    <w:rPr>
      <w:rFonts w:ascii="Times New Roman" w:eastAsiaTheme="majorEastAsia" w:hAnsi="Times New Roman" w:cstheme="majorBidi"/>
      <w:color w:val="2F5496" w:themeColor="accent1" w:themeShade="BF"/>
      <w:sz w:val="32"/>
      <w:szCs w:val="32"/>
    </w:rPr>
  </w:style>
  <w:style w:type="paragraph" w:styleId="Heading2">
    <w:name w:val="heading 2"/>
    <w:next w:val="Normal"/>
    <w:link w:val="Heading2Char"/>
    <w:uiPriority w:val="9"/>
    <w:semiHidden/>
    <w:unhideWhenUsed/>
    <w:rsid w:val="00E15E0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95422"/>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next w:val="Normal"/>
    <w:link w:val="Heading4Char"/>
    <w:autoRedefine/>
    <w:uiPriority w:val="9"/>
    <w:semiHidden/>
    <w:unhideWhenUsed/>
    <w:qFormat/>
    <w:rsid w:val="00E50869"/>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35FA9"/>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0869"/>
    <w:rPr>
      <w:rFonts w:ascii="Times New Roman" w:eastAsiaTheme="majorEastAsia" w:hAnsi="Times New Roman" w:cstheme="majorBidi"/>
      <w:color w:val="2F5496" w:themeColor="accent1" w:themeShade="BF"/>
      <w:sz w:val="32"/>
      <w:szCs w:val="32"/>
    </w:rPr>
  </w:style>
  <w:style w:type="character" w:customStyle="1" w:styleId="Heading4Char">
    <w:name w:val="Heading 4 Char"/>
    <w:basedOn w:val="DefaultParagraphFont"/>
    <w:link w:val="Heading4"/>
    <w:uiPriority w:val="9"/>
    <w:semiHidden/>
    <w:rsid w:val="00E50869"/>
    <w:rPr>
      <w:rFonts w:asciiTheme="majorHAnsi" w:eastAsiaTheme="majorEastAsia" w:hAnsiTheme="majorHAnsi" w:cstheme="majorBidi"/>
      <w:i/>
      <w:iCs/>
      <w:color w:val="2F5496" w:themeColor="accent1" w:themeShade="BF"/>
    </w:rPr>
  </w:style>
  <w:style w:type="paragraph" w:customStyle="1" w:styleId="tx">
    <w:name w:val="tx"/>
    <w:autoRedefine/>
    <w:qFormat/>
    <w:rsid w:val="000237C4"/>
    <w:pPr>
      <w:spacing w:line="360" w:lineRule="auto"/>
      <w:ind w:firstLine="360"/>
    </w:pPr>
    <w:rPr>
      <w:rFonts w:ascii="Times New Roman" w:hAnsi="Times New Roman"/>
    </w:rPr>
  </w:style>
  <w:style w:type="paragraph" w:customStyle="1" w:styleId="tx-fl">
    <w:name w:val="tx-fl"/>
    <w:basedOn w:val="tx"/>
    <w:autoRedefine/>
    <w:qFormat/>
    <w:rsid w:val="00D7215F"/>
    <w:pPr>
      <w:ind w:firstLine="0"/>
    </w:pPr>
  </w:style>
  <w:style w:type="paragraph" w:styleId="BodyText">
    <w:name w:val="Body Text"/>
    <w:basedOn w:val="Normal"/>
    <w:link w:val="BodyTextChar"/>
    <w:uiPriority w:val="99"/>
    <w:semiHidden/>
    <w:unhideWhenUsed/>
    <w:rsid w:val="00A14436"/>
    <w:pPr>
      <w:spacing w:after="120"/>
    </w:pPr>
  </w:style>
  <w:style w:type="character" w:customStyle="1" w:styleId="BodyTextChar">
    <w:name w:val="Body Text Char"/>
    <w:basedOn w:val="DefaultParagraphFont"/>
    <w:link w:val="BodyText"/>
    <w:uiPriority w:val="99"/>
    <w:semiHidden/>
    <w:rsid w:val="00A14436"/>
  </w:style>
  <w:style w:type="paragraph" w:customStyle="1" w:styleId="ls">
    <w:name w:val="ls"/>
    <w:basedOn w:val="tx-fl"/>
    <w:autoRedefine/>
    <w:qFormat/>
    <w:rsid w:val="00A14436"/>
    <w:pPr>
      <w:spacing w:before="240"/>
    </w:pPr>
  </w:style>
  <w:style w:type="paragraph" w:customStyle="1" w:styleId="sec">
    <w:name w:val="sec"/>
    <w:basedOn w:val="tx-fl"/>
    <w:autoRedefine/>
    <w:qFormat/>
    <w:rsid w:val="00A14436"/>
    <w:pPr>
      <w:spacing w:before="480"/>
    </w:pPr>
  </w:style>
  <w:style w:type="paragraph" w:customStyle="1" w:styleId="orn">
    <w:name w:val="orn"/>
    <w:basedOn w:val="ls"/>
    <w:autoRedefine/>
    <w:qFormat/>
    <w:rsid w:val="00F95422"/>
  </w:style>
  <w:style w:type="paragraph" w:customStyle="1" w:styleId="cn">
    <w:name w:val="cn"/>
    <w:autoRedefine/>
    <w:qFormat/>
    <w:rsid w:val="00C37D77"/>
    <w:rPr>
      <w:rFonts w:ascii="Times New Roman" w:eastAsiaTheme="majorEastAsia" w:hAnsi="Times New Roman" w:cstheme="majorBidi"/>
      <w:spacing w:val="-10"/>
      <w:kern w:val="28"/>
      <w:sz w:val="32"/>
      <w:szCs w:val="56"/>
    </w:rPr>
  </w:style>
  <w:style w:type="paragraph" w:customStyle="1" w:styleId="ct">
    <w:name w:val="ct"/>
    <w:autoRedefine/>
    <w:qFormat/>
    <w:rsid w:val="00EF4B8F"/>
    <w:rPr>
      <w:rFonts w:ascii="Times New Roman" w:eastAsia="Times New Roman" w:hAnsi="Times New Roman" w:cstheme="majorBidi"/>
      <w:spacing w:val="-10"/>
      <w:kern w:val="28"/>
      <w:sz w:val="40"/>
      <w:szCs w:val="56"/>
    </w:rPr>
  </w:style>
  <w:style w:type="paragraph" w:customStyle="1" w:styleId="ca">
    <w:name w:val="ca"/>
    <w:autoRedefine/>
    <w:qFormat/>
    <w:rsid w:val="000237C4"/>
    <w:pPr>
      <w:spacing w:line="360" w:lineRule="auto"/>
    </w:pPr>
    <w:rPr>
      <w:rFonts w:ascii="Times New Roman" w:eastAsiaTheme="minorEastAsia" w:hAnsi="Times New Roman"/>
      <w:color w:val="5A5A5A" w:themeColor="text1" w:themeTint="A5"/>
      <w:spacing w:val="15"/>
      <w:sz w:val="28"/>
      <w:szCs w:val="22"/>
    </w:rPr>
  </w:style>
  <w:style w:type="paragraph" w:customStyle="1" w:styleId="cst">
    <w:name w:val="cst"/>
    <w:autoRedefine/>
    <w:qFormat/>
    <w:rsid w:val="00C37D77"/>
    <w:rPr>
      <w:rFonts w:ascii="Times New Roman" w:eastAsiaTheme="minorEastAsia" w:hAnsi="Times New Roman"/>
      <w:color w:val="5A5A5A" w:themeColor="text1" w:themeTint="A5"/>
      <w:spacing w:val="15"/>
      <w:sz w:val="32"/>
      <w:szCs w:val="22"/>
    </w:rPr>
  </w:style>
  <w:style w:type="paragraph" w:customStyle="1" w:styleId="h1">
    <w:name w:val="h1"/>
    <w:autoRedefine/>
    <w:qFormat/>
    <w:rsid w:val="00C37D77"/>
    <w:pPr>
      <w:spacing w:before="240" w:after="120"/>
    </w:pPr>
    <w:rPr>
      <w:rFonts w:ascii="Times New Roman" w:eastAsiaTheme="majorEastAsia" w:hAnsi="Times New Roman" w:cstheme="majorBidi"/>
      <w:color w:val="2F5496" w:themeColor="accent1" w:themeShade="BF"/>
      <w:sz w:val="32"/>
      <w:szCs w:val="32"/>
    </w:rPr>
  </w:style>
  <w:style w:type="paragraph" w:customStyle="1" w:styleId="h2">
    <w:name w:val="h2"/>
    <w:autoRedefine/>
    <w:qFormat/>
    <w:rsid w:val="00C37D77"/>
    <w:pPr>
      <w:spacing w:before="240" w:after="120"/>
    </w:pPr>
    <w:rPr>
      <w:rFonts w:ascii="Times New Roman" w:eastAsiaTheme="majorEastAsia" w:hAnsi="Times New Roman" w:cstheme="majorBidi"/>
      <w:color w:val="C45911" w:themeColor="accent2" w:themeShade="BF"/>
      <w:sz w:val="26"/>
      <w:szCs w:val="26"/>
    </w:rPr>
  </w:style>
  <w:style w:type="paragraph" w:customStyle="1" w:styleId="h3">
    <w:name w:val="h3"/>
    <w:autoRedefine/>
    <w:qFormat/>
    <w:rsid w:val="00C37D77"/>
    <w:pPr>
      <w:spacing w:before="120" w:after="120"/>
    </w:pPr>
    <w:rPr>
      <w:rFonts w:ascii="Times New Roman" w:eastAsiaTheme="majorEastAsia" w:hAnsi="Times New Roman" w:cstheme="majorBidi"/>
      <w:color w:val="7B7B7B" w:themeColor="accent3" w:themeShade="BF"/>
    </w:rPr>
  </w:style>
  <w:style w:type="character" w:customStyle="1" w:styleId="Heading2Char">
    <w:name w:val="Heading 2 Char"/>
    <w:basedOn w:val="DefaultParagraphFont"/>
    <w:link w:val="Heading2"/>
    <w:uiPriority w:val="9"/>
    <w:semiHidden/>
    <w:rsid w:val="00E15E0F"/>
    <w:rPr>
      <w:rFonts w:asciiTheme="majorHAnsi" w:eastAsiaTheme="majorEastAsia" w:hAnsiTheme="majorHAnsi" w:cstheme="majorBidi"/>
      <w:color w:val="2F5496" w:themeColor="accent1" w:themeShade="BF"/>
      <w:sz w:val="26"/>
      <w:szCs w:val="26"/>
    </w:rPr>
  </w:style>
  <w:style w:type="paragraph" w:customStyle="1" w:styleId="h4">
    <w:name w:val="h4"/>
    <w:autoRedefine/>
    <w:qFormat/>
    <w:rsid w:val="00C37D77"/>
    <w:pPr>
      <w:spacing w:before="120" w:after="120"/>
    </w:pPr>
    <w:rPr>
      <w:rFonts w:ascii="Times New Roman" w:eastAsiaTheme="majorEastAsia" w:hAnsi="Times New Roman" w:cstheme="majorBidi"/>
      <w:iCs/>
      <w:color w:val="538135" w:themeColor="accent6" w:themeShade="BF"/>
    </w:rPr>
  </w:style>
  <w:style w:type="character" w:customStyle="1" w:styleId="Heading3Char">
    <w:name w:val="Heading 3 Char"/>
    <w:basedOn w:val="DefaultParagraphFont"/>
    <w:link w:val="Heading3"/>
    <w:uiPriority w:val="9"/>
    <w:semiHidden/>
    <w:rsid w:val="00F95422"/>
    <w:rPr>
      <w:rFonts w:asciiTheme="majorHAnsi" w:eastAsiaTheme="majorEastAsia" w:hAnsiTheme="majorHAnsi" w:cstheme="majorBidi"/>
      <w:color w:val="1F3763" w:themeColor="accent1" w:themeShade="7F"/>
    </w:rPr>
  </w:style>
  <w:style w:type="paragraph" w:customStyle="1" w:styleId="h5">
    <w:name w:val="h5"/>
    <w:autoRedefine/>
    <w:qFormat/>
    <w:rsid w:val="00C37D77"/>
    <w:pPr>
      <w:spacing w:before="120"/>
    </w:pPr>
    <w:rPr>
      <w:rFonts w:ascii="Times New Roman" w:eastAsiaTheme="majorEastAsia" w:hAnsi="Times New Roman" w:cstheme="majorBidi"/>
      <w:i/>
      <w:color w:val="323E4F" w:themeColor="text2" w:themeShade="BF"/>
    </w:rPr>
  </w:style>
  <w:style w:type="paragraph" w:customStyle="1" w:styleId="pn">
    <w:name w:val="pn"/>
    <w:basedOn w:val="cn"/>
    <w:autoRedefine/>
    <w:qFormat/>
    <w:rsid w:val="00135FA9"/>
  </w:style>
  <w:style w:type="character" w:customStyle="1" w:styleId="Heading5Char">
    <w:name w:val="Heading 5 Char"/>
    <w:basedOn w:val="DefaultParagraphFont"/>
    <w:link w:val="Heading5"/>
    <w:uiPriority w:val="9"/>
    <w:semiHidden/>
    <w:rsid w:val="00135FA9"/>
    <w:rPr>
      <w:rFonts w:asciiTheme="majorHAnsi" w:eastAsiaTheme="majorEastAsia" w:hAnsiTheme="majorHAnsi" w:cstheme="majorBidi"/>
      <w:color w:val="2F5496" w:themeColor="accent1" w:themeShade="BF"/>
    </w:rPr>
  </w:style>
  <w:style w:type="paragraph" w:customStyle="1" w:styleId="pt">
    <w:name w:val="pt"/>
    <w:basedOn w:val="ct"/>
    <w:autoRedefine/>
    <w:qFormat/>
    <w:rsid w:val="00135FA9"/>
  </w:style>
  <w:style w:type="paragraph" w:customStyle="1" w:styleId="pst">
    <w:name w:val="pst"/>
    <w:basedOn w:val="cst"/>
    <w:autoRedefine/>
    <w:qFormat/>
    <w:rsid w:val="00135FA9"/>
  </w:style>
  <w:style w:type="paragraph" w:customStyle="1" w:styleId="toc">
    <w:name w:val="toc"/>
    <w:autoRedefine/>
    <w:qFormat/>
    <w:rsid w:val="00895DAE"/>
    <w:pPr>
      <w:spacing w:line="360" w:lineRule="auto"/>
    </w:pPr>
    <w:rPr>
      <w:rFonts w:ascii="Times New Roman" w:hAnsi="Times New Roman"/>
    </w:rPr>
  </w:style>
  <w:style w:type="paragraph" w:customStyle="1" w:styleId="tocfm">
    <w:name w:val="tocfm"/>
    <w:autoRedefine/>
    <w:qFormat/>
    <w:rsid w:val="00895DAE"/>
    <w:pPr>
      <w:spacing w:after="120" w:line="360" w:lineRule="auto"/>
    </w:pPr>
    <w:rPr>
      <w:rFonts w:ascii="Times New Roman" w:hAnsi="Times New Roman"/>
      <w:i/>
    </w:rPr>
  </w:style>
  <w:style w:type="paragraph" w:styleId="TOC1">
    <w:name w:val="toc 1"/>
    <w:basedOn w:val="Normal"/>
    <w:next w:val="Normal"/>
    <w:autoRedefine/>
    <w:uiPriority w:val="39"/>
    <w:semiHidden/>
    <w:unhideWhenUsed/>
    <w:rsid w:val="00135FA9"/>
    <w:pPr>
      <w:spacing w:after="100"/>
    </w:pPr>
  </w:style>
  <w:style w:type="paragraph" w:customStyle="1" w:styleId="tocbm">
    <w:name w:val="tocbm"/>
    <w:basedOn w:val="tocfm"/>
    <w:autoRedefine/>
    <w:qFormat/>
    <w:rsid w:val="00C37D77"/>
    <w:pPr>
      <w:spacing w:before="120" w:after="0"/>
    </w:pPr>
  </w:style>
  <w:style w:type="paragraph" w:styleId="TOC2">
    <w:name w:val="toc 2"/>
    <w:basedOn w:val="Normal"/>
    <w:next w:val="Normal"/>
    <w:autoRedefine/>
    <w:uiPriority w:val="39"/>
    <w:semiHidden/>
    <w:unhideWhenUsed/>
    <w:rsid w:val="005E13AB"/>
    <w:pPr>
      <w:spacing w:after="100"/>
      <w:ind w:left="240"/>
    </w:pPr>
  </w:style>
  <w:style w:type="paragraph" w:customStyle="1" w:styleId="toc-au">
    <w:name w:val="toc-au"/>
    <w:autoRedefine/>
    <w:qFormat/>
    <w:rsid w:val="00895DAE"/>
    <w:pPr>
      <w:spacing w:after="120" w:line="360" w:lineRule="auto"/>
      <w:ind w:left="475"/>
    </w:pPr>
    <w:rPr>
      <w:rFonts w:ascii="Times New Roman" w:hAnsi="Times New Roman"/>
    </w:rPr>
  </w:style>
  <w:style w:type="paragraph" w:customStyle="1" w:styleId="toc-cn">
    <w:name w:val="toc-cn"/>
    <w:basedOn w:val="toc"/>
    <w:autoRedefine/>
    <w:qFormat/>
    <w:rsid w:val="005E13AB"/>
  </w:style>
  <w:style w:type="paragraph" w:styleId="TOC3">
    <w:name w:val="toc 3"/>
    <w:basedOn w:val="Normal"/>
    <w:next w:val="Normal"/>
    <w:autoRedefine/>
    <w:uiPriority w:val="39"/>
    <w:semiHidden/>
    <w:unhideWhenUsed/>
    <w:rsid w:val="005E13AB"/>
    <w:pPr>
      <w:spacing w:after="100"/>
      <w:ind w:left="480"/>
    </w:pPr>
  </w:style>
  <w:style w:type="paragraph" w:customStyle="1" w:styleId="toc10">
    <w:name w:val="toc1"/>
    <w:autoRedefine/>
    <w:qFormat/>
    <w:rsid w:val="00895DAE"/>
    <w:pPr>
      <w:spacing w:line="360" w:lineRule="auto"/>
      <w:ind w:left="950"/>
    </w:pPr>
    <w:rPr>
      <w:rFonts w:ascii="Times New Roman" w:hAnsi="Times New Roman"/>
    </w:rPr>
  </w:style>
  <w:style w:type="paragraph" w:customStyle="1" w:styleId="toc-pn">
    <w:name w:val="toc-pn"/>
    <w:basedOn w:val="toc"/>
    <w:autoRedefine/>
    <w:qFormat/>
    <w:rsid w:val="005E13AB"/>
  </w:style>
  <w:style w:type="paragraph" w:styleId="TOC5">
    <w:name w:val="toc 5"/>
    <w:basedOn w:val="Normal"/>
    <w:next w:val="Normal"/>
    <w:autoRedefine/>
    <w:uiPriority w:val="39"/>
    <w:semiHidden/>
    <w:unhideWhenUsed/>
    <w:rsid w:val="005E13AB"/>
    <w:pPr>
      <w:spacing w:after="100"/>
      <w:ind w:left="960"/>
    </w:pPr>
  </w:style>
  <w:style w:type="paragraph" w:customStyle="1" w:styleId="toc-pt">
    <w:name w:val="toc-pt"/>
    <w:basedOn w:val="toc"/>
    <w:autoRedefine/>
    <w:qFormat/>
    <w:rsid w:val="005E13AB"/>
  </w:style>
  <w:style w:type="paragraph" w:customStyle="1" w:styleId="bht">
    <w:name w:val="bht"/>
    <w:basedOn w:val="tx-fl"/>
    <w:autoRedefine/>
    <w:qFormat/>
    <w:rsid w:val="005E13AB"/>
    <w:rPr>
      <w:sz w:val="28"/>
    </w:rPr>
  </w:style>
  <w:style w:type="paragraph" w:customStyle="1" w:styleId="bt">
    <w:name w:val="bt"/>
    <w:autoRedefine/>
    <w:qFormat/>
    <w:rsid w:val="000237C4"/>
    <w:pPr>
      <w:spacing w:after="240"/>
    </w:pPr>
    <w:rPr>
      <w:rFonts w:ascii="Times New Roman" w:eastAsiaTheme="majorEastAsia" w:hAnsi="Times New Roman" w:cstheme="majorBidi"/>
      <w:spacing w:val="-10"/>
      <w:kern w:val="28"/>
      <w:sz w:val="56"/>
      <w:szCs w:val="56"/>
    </w:rPr>
  </w:style>
  <w:style w:type="paragraph" w:customStyle="1" w:styleId="bt1">
    <w:name w:val="bt1"/>
    <w:basedOn w:val="bt"/>
    <w:autoRedefine/>
    <w:qFormat/>
    <w:rsid w:val="005E13AB"/>
    <w:rPr>
      <w:sz w:val="44"/>
    </w:rPr>
  </w:style>
  <w:style w:type="paragraph" w:customStyle="1" w:styleId="bau">
    <w:name w:val="bau"/>
    <w:basedOn w:val="bt1"/>
    <w:autoRedefine/>
    <w:qFormat/>
    <w:rsid w:val="000237C4"/>
    <w:pPr>
      <w:spacing w:before="240"/>
    </w:pPr>
    <w:rPr>
      <w:sz w:val="36"/>
    </w:rPr>
  </w:style>
  <w:style w:type="paragraph" w:customStyle="1" w:styleId="bpub">
    <w:name w:val="bpub"/>
    <w:basedOn w:val="bt1"/>
    <w:autoRedefine/>
    <w:qFormat/>
    <w:rsid w:val="00EE68B0"/>
    <w:rPr>
      <w:sz w:val="24"/>
    </w:rPr>
  </w:style>
  <w:style w:type="paragraph" w:customStyle="1" w:styleId="cip">
    <w:name w:val="cip"/>
    <w:basedOn w:val="tx-fl"/>
    <w:autoRedefine/>
    <w:qFormat/>
    <w:rsid w:val="00EE68B0"/>
    <w:rPr>
      <w:sz w:val="20"/>
    </w:rPr>
  </w:style>
  <w:style w:type="paragraph" w:customStyle="1" w:styleId="cipf">
    <w:name w:val="cipf"/>
    <w:basedOn w:val="cip"/>
    <w:autoRedefine/>
    <w:qFormat/>
    <w:rsid w:val="00EE68B0"/>
    <w:pPr>
      <w:spacing w:before="240"/>
    </w:pPr>
  </w:style>
  <w:style w:type="paragraph" w:customStyle="1" w:styleId="ded">
    <w:name w:val="ded"/>
    <w:basedOn w:val="tx-fl"/>
    <w:autoRedefine/>
    <w:qFormat/>
    <w:rsid w:val="00EE68B0"/>
    <w:rPr>
      <w:sz w:val="28"/>
    </w:rPr>
  </w:style>
  <w:style w:type="paragraph" w:customStyle="1" w:styleId="serh">
    <w:name w:val="serh"/>
    <w:basedOn w:val="tx-fl"/>
    <w:autoRedefine/>
    <w:qFormat/>
    <w:rsid w:val="00EE68B0"/>
    <w:rPr>
      <w:b/>
      <w:sz w:val="22"/>
    </w:rPr>
  </w:style>
  <w:style w:type="paragraph" w:customStyle="1" w:styleId="sered">
    <w:name w:val="sered"/>
    <w:basedOn w:val="serh"/>
    <w:autoRedefine/>
    <w:qFormat/>
    <w:rsid w:val="00EE68B0"/>
    <w:pPr>
      <w:spacing w:before="120" w:after="120"/>
    </w:pPr>
    <w:rPr>
      <w:b w:val="0"/>
      <w:i/>
    </w:rPr>
  </w:style>
  <w:style w:type="paragraph" w:customStyle="1" w:styleId="ser">
    <w:name w:val="ser"/>
    <w:basedOn w:val="serh"/>
    <w:autoRedefine/>
    <w:qFormat/>
    <w:rsid w:val="00EE68B0"/>
    <w:pPr>
      <w:spacing w:after="120"/>
    </w:pPr>
    <w:rPr>
      <w:b w:val="0"/>
    </w:rPr>
  </w:style>
  <w:style w:type="paragraph" w:customStyle="1" w:styleId="abb">
    <w:name w:val="abb"/>
    <w:basedOn w:val="tx-fl"/>
    <w:autoRedefine/>
    <w:qFormat/>
    <w:rsid w:val="004E235D"/>
    <w:pPr>
      <w:tabs>
        <w:tab w:val="left" w:pos="4320"/>
      </w:tabs>
    </w:pPr>
  </w:style>
  <w:style w:type="paragraph" w:customStyle="1" w:styleId="fmt">
    <w:name w:val="fmt"/>
    <w:autoRedefine/>
    <w:qFormat/>
    <w:rsid w:val="000237C4"/>
    <w:pPr>
      <w:pageBreakBefore/>
      <w:spacing w:after="960"/>
    </w:pPr>
    <w:rPr>
      <w:rFonts w:ascii="Times New Roman" w:eastAsiaTheme="majorEastAsia" w:hAnsi="Times New Roman" w:cstheme="majorBidi"/>
      <w:spacing w:val="-10"/>
      <w:kern w:val="28"/>
      <w:sz w:val="48"/>
      <w:szCs w:val="56"/>
    </w:rPr>
  </w:style>
  <w:style w:type="paragraph" w:customStyle="1" w:styleId="bmt">
    <w:name w:val="bmt"/>
    <w:basedOn w:val="fmt"/>
    <w:autoRedefine/>
    <w:qFormat/>
    <w:rsid w:val="00EE68B0"/>
  </w:style>
  <w:style w:type="paragraph" w:customStyle="1" w:styleId="bl">
    <w:name w:val="bl"/>
    <w:autoRedefine/>
    <w:qFormat/>
    <w:rsid w:val="000237C4"/>
    <w:pPr>
      <w:numPr>
        <w:numId w:val="2"/>
      </w:numPr>
      <w:spacing w:line="360" w:lineRule="auto"/>
    </w:pPr>
    <w:rPr>
      <w:rFonts w:ascii="Times New Roman" w:hAnsi="Times New Roman"/>
    </w:rPr>
  </w:style>
  <w:style w:type="paragraph" w:customStyle="1" w:styleId="nl">
    <w:name w:val="nl"/>
    <w:next w:val="tx"/>
    <w:autoRedefine/>
    <w:qFormat/>
    <w:rsid w:val="00C37D77"/>
    <w:rPr>
      <w:rFonts w:ascii="Times New Roman" w:hAnsi="Times New Roman"/>
    </w:rPr>
  </w:style>
  <w:style w:type="paragraph" w:customStyle="1" w:styleId="ul">
    <w:name w:val="ul"/>
    <w:autoRedefine/>
    <w:qFormat/>
    <w:rsid w:val="00895DAE"/>
    <w:pPr>
      <w:spacing w:line="360" w:lineRule="auto"/>
      <w:ind w:left="360" w:hanging="360"/>
    </w:pPr>
    <w:rPr>
      <w:rFonts w:ascii="Times New Roman" w:hAnsi="Times New Roman"/>
    </w:rPr>
  </w:style>
  <w:style w:type="paragraph" w:customStyle="1" w:styleId="ol1">
    <w:name w:val="ol1"/>
    <w:autoRedefine/>
    <w:qFormat/>
    <w:rsid w:val="00895DAE"/>
    <w:pPr>
      <w:snapToGrid w:val="0"/>
      <w:spacing w:line="360" w:lineRule="auto"/>
      <w:ind w:left="360" w:hanging="360"/>
    </w:pPr>
    <w:rPr>
      <w:rFonts w:ascii="Times New Roman" w:hAnsi="Times New Roman"/>
    </w:rPr>
  </w:style>
  <w:style w:type="paragraph" w:customStyle="1" w:styleId="ol2">
    <w:name w:val="ol2"/>
    <w:basedOn w:val="ol1"/>
    <w:autoRedefine/>
    <w:qFormat/>
    <w:rsid w:val="00C37D77"/>
    <w:pPr>
      <w:ind w:left="720"/>
    </w:pPr>
  </w:style>
  <w:style w:type="paragraph" w:customStyle="1" w:styleId="ol3">
    <w:name w:val="ol3"/>
    <w:basedOn w:val="ol2"/>
    <w:autoRedefine/>
    <w:qFormat/>
    <w:rsid w:val="00C37D77"/>
    <w:pPr>
      <w:ind w:left="1080"/>
    </w:pPr>
  </w:style>
  <w:style w:type="paragraph" w:customStyle="1" w:styleId="ol4">
    <w:name w:val="ol4"/>
    <w:basedOn w:val="ol3"/>
    <w:autoRedefine/>
    <w:qFormat/>
    <w:rsid w:val="00C37D77"/>
    <w:pPr>
      <w:ind w:left="1440"/>
    </w:pPr>
  </w:style>
  <w:style w:type="paragraph" w:customStyle="1" w:styleId="epi">
    <w:name w:val="epi"/>
    <w:basedOn w:val="tx-fl"/>
    <w:autoRedefine/>
    <w:qFormat/>
    <w:rsid w:val="00C37D77"/>
    <w:pPr>
      <w:snapToGrid w:val="0"/>
      <w:spacing w:before="240"/>
      <w:ind w:left="720" w:right="720"/>
    </w:pPr>
    <w:rPr>
      <w:sz w:val="22"/>
    </w:rPr>
  </w:style>
  <w:style w:type="paragraph" w:customStyle="1" w:styleId="epi-s">
    <w:name w:val="epi-s"/>
    <w:basedOn w:val="epi"/>
    <w:autoRedefine/>
    <w:qFormat/>
    <w:rsid w:val="00C37D77"/>
    <w:pPr>
      <w:spacing w:before="0" w:after="360"/>
      <w:jc w:val="right"/>
    </w:pPr>
  </w:style>
  <w:style w:type="paragraph" w:customStyle="1" w:styleId="ext">
    <w:name w:val="ext"/>
    <w:autoRedefine/>
    <w:qFormat/>
    <w:rsid w:val="000237C4"/>
    <w:pPr>
      <w:spacing w:before="240" w:after="240" w:line="360" w:lineRule="auto"/>
      <w:ind w:left="720" w:right="720"/>
    </w:pPr>
    <w:rPr>
      <w:rFonts w:ascii="Times New Roman" w:hAnsi="Times New Roman"/>
      <w:sz w:val="22"/>
    </w:rPr>
  </w:style>
  <w:style w:type="paragraph" w:customStyle="1" w:styleId="dia">
    <w:name w:val="dia"/>
    <w:autoRedefine/>
    <w:qFormat/>
    <w:rsid w:val="000237C4"/>
    <w:pPr>
      <w:spacing w:line="360" w:lineRule="auto"/>
      <w:ind w:left="720" w:hanging="720"/>
    </w:pPr>
    <w:rPr>
      <w:rFonts w:ascii="Times New Roman" w:hAnsi="Times New Roman"/>
    </w:rPr>
  </w:style>
  <w:style w:type="paragraph" w:customStyle="1" w:styleId="ve">
    <w:name w:val="ve"/>
    <w:autoRedefine/>
    <w:qFormat/>
    <w:rsid w:val="000237C4"/>
    <w:pPr>
      <w:spacing w:line="360" w:lineRule="auto"/>
      <w:ind w:left="720" w:right="360" w:hanging="360"/>
    </w:pPr>
    <w:rPr>
      <w:rFonts w:ascii="Times New Roman" w:hAnsi="Times New Roman"/>
      <w:sz w:val="22"/>
    </w:rPr>
  </w:style>
  <w:style w:type="paragraph" w:customStyle="1" w:styleId="ve1">
    <w:name w:val="ve1"/>
    <w:basedOn w:val="ve"/>
    <w:autoRedefine/>
    <w:qFormat/>
    <w:rsid w:val="00C37D77"/>
    <w:pPr>
      <w:ind w:left="1080" w:right="720"/>
    </w:pPr>
  </w:style>
  <w:style w:type="paragraph" w:customStyle="1" w:styleId="ve2">
    <w:name w:val="ve2"/>
    <w:basedOn w:val="ve1"/>
    <w:autoRedefine/>
    <w:qFormat/>
    <w:rsid w:val="00C37D77"/>
    <w:pPr>
      <w:ind w:left="1440" w:right="1080"/>
    </w:pPr>
  </w:style>
  <w:style w:type="paragraph" w:customStyle="1" w:styleId="ve-h1">
    <w:name w:val="ve-h1"/>
    <w:autoRedefine/>
    <w:qFormat/>
    <w:rsid w:val="00C37D77"/>
    <w:pPr>
      <w:spacing w:before="240" w:after="120"/>
      <w:ind w:left="360" w:right="360"/>
    </w:pPr>
    <w:rPr>
      <w:rFonts w:ascii="Times New Roman" w:hAnsi="Times New Roman"/>
      <w:sz w:val="22"/>
    </w:rPr>
  </w:style>
  <w:style w:type="paragraph" w:customStyle="1" w:styleId="ve-s">
    <w:name w:val="ve-s"/>
    <w:basedOn w:val="ve"/>
    <w:autoRedefine/>
    <w:qFormat/>
    <w:rsid w:val="00C37D77"/>
    <w:pPr>
      <w:spacing w:before="120" w:after="240"/>
      <w:jc w:val="right"/>
    </w:pPr>
  </w:style>
  <w:style w:type="paragraph" w:customStyle="1" w:styleId="ve-sb">
    <w:name w:val="ve-sb"/>
    <w:basedOn w:val="ve"/>
    <w:autoRedefine/>
    <w:qFormat/>
    <w:rsid w:val="00C37D77"/>
    <w:pPr>
      <w:spacing w:before="240"/>
    </w:pPr>
  </w:style>
  <w:style w:type="paragraph" w:customStyle="1" w:styleId="eq">
    <w:name w:val="eq"/>
    <w:basedOn w:val="tx-fl"/>
    <w:autoRedefine/>
    <w:qFormat/>
    <w:rsid w:val="00C37D77"/>
    <w:pPr>
      <w:spacing w:before="120" w:after="120"/>
      <w:jc w:val="center"/>
    </w:pPr>
  </w:style>
  <w:style w:type="paragraph" w:customStyle="1" w:styleId="fig-cap">
    <w:name w:val="fig-cap"/>
    <w:autoRedefine/>
    <w:qFormat/>
    <w:rsid w:val="000237C4"/>
    <w:pPr>
      <w:spacing w:before="120" w:after="120" w:line="360" w:lineRule="auto"/>
    </w:pPr>
    <w:rPr>
      <w:rFonts w:ascii="Times New Roman" w:hAnsi="Times New Roman"/>
    </w:rPr>
  </w:style>
  <w:style w:type="paragraph" w:customStyle="1" w:styleId="tn">
    <w:name w:val="tn"/>
    <w:autoRedefine/>
    <w:qFormat/>
    <w:rsid w:val="00895DAE"/>
    <w:pPr>
      <w:spacing w:line="360" w:lineRule="auto"/>
    </w:pPr>
    <w:rPr>
      <w:rFonts w:ascii="Times New Roman" w:hAnsi="Times New Roman" w:cs="Times New Roman (Body CS)"/>
      <w:color w:val="385623" w:themeColor="accent6" w:themeShade="80"/>
    </w:rPr>
  </w:style>
  <w:style w:type="paragraph" w:customStyle="1" w:styleId="tt">
    <w:name w:val="tt"/>
    <w:basedOn w:val="tn"/>
    <w:autoRedefine/>
    <w:qFormat/>
    <w:rsid w:val="00C37D77"/>
  </w:style>
  <w:style w:type="paragraph" w:customStyle="1" w:styleId="tb">
    <w:name w:val="tb"/>
    <w:autoRedefine/>
    <w:qFormat/>
    <w:rsid w:val="000237C4"/>
    <w:pPr>
      <w:spacing w:line="360" w:lineRule="auto"/>
    </w:pPr>
    <w:rPr>
      <w:rFonts w:ascii="Times New Roman" w:hAnsi="Times New Roman"/>
      <w:sz w:val="22"/>
    </w:rPr>
  </w:style>
  <w:style w:type="paragraph" w:customStyle="1" w:styleId="tch">
    <w:name w:val="tch"/>
    <w:autoRedefine/>
    <w:qFormat/>
    <w:rsid w:val="00C37D77"/>
    <w:pPr>
      <w:jc w:val="center"/>
    </w:pPr>
    <w:rPr>
      <w:rFonts w:ascii="Times New Roman" w:hAnsi="Times New Roman"/>
      <w:sz w:val="22"/>
    </w:rPr>
  </w:style>
  <w:style w:type="paragraph" w:customStyle="1" w:styleId="tfn">
    <w:name w:val="tfn"/>
    <w:basedOn w:val="tb"/>
    <w:autoRedefine/>
    <w:qFormat/>
    <w:rsid w:val="00C37D77"/>
    <w:rPr>
      <w:sz w:val="20"/>
    </w:rPr>
  </w:style>
  <w:style w:type="paragraph" w:customStyle="1" w:styleId="fn">
    <w:name w:val="fn"/>
    <w:autoRedefine/>
    <w:qFormat/>
    <w:rsid w:val="000237C4"/>
    <w:pPr>
      <w:spacing w:line="360" w:lineRule="auto"/>
      <w:ind w:firstLine="360"/>
    </w:pPr>
    <w:rPr>
      <w:rFonts w:ascii="Times New Roman" w:hAnsi="Times New Roman"/>
      <w:sz w:val="20"/>
    </w:rPr>
  </w:style>
  <w:style w:type="paragraph" w:customStyle="1" w:styleId="en">
    <w:name w:val="en"/>
    <w:autoRedefine/>
    <w:qFormat/>
    <w:rsid w:val="000237C4"/>
    <w:pPr>
      <w:spacing w:line="360" w:lineRule="auto"/>
      <w:ind w:firstLine="360"/>
    </w:pPr>
    <w:rPr>
      <w:rFonts w:ascii="Times New Roman" w:hAnsi="Times New Roman"/>
      <w:sz w:val="20"/>
    </w:rPr>
  </w:style>
  <w:style w:type="paragraph" w:customStyle="1" w:styleId="fn-ext">
    <w:name w:val="fn-ext"/>
    <w:basedOn w:val="fn"/>
    <w:autoRedefine/>
    <w:qFormat/>
    <w:rsid w:val="00C37D77"/>
    <w:pPr>
      <w:spacing w:before="120" w:after="120"/>
      <w:ind w:left="720" w:right="720" w:firstLine="0"/>
    </w:pPr>
  </w:style>
  <w:style w:type="paragraph" w:customStyle="1" w:styleId="fn-ve">
    <w:name w:val="fn-ve"/>
    <w:basedOn w:val="fn-ext"/>
    <w:autoRedefine/>
    <w:qFormat/>
    <w:rsid w:val="00C37D77"/>
    <w:pPr>
      <w:ind w:left="1080" w:hanging="360"/>
    </w:pPr>
  </w:style>
  <w:style w:type="paragraph" w:customStyle="1" w:styleId="en-ext">
    <w:name w:val="en-ext"/>
    <w:basedOn w:val="fn-ext"/>
    <w:autoRedefine/>
    <w:qFormat/>
    <w:rsid w:val="00C37D77"/>
  </w:style>
  <w:style w:type="paragraph" w:customStyle="1" w:styleId="en-ve">
    <w:name w:val="en-ve"/>
    <w:basedOn w:val="fn-ve"/>
    <w:autoRedefine/>
    <w:qFormat/>
    <w:rsid w:val="00C37D77"/>
  </w:style>
  <w:style w:type="paragraph" w:customStyle="1" w:styleId="en-tx">
    <w:name w:val="en-tx"/>
    <w:basedOn w:val="en"/>
    <w:autoRedefine/>
    <w:qFormat/>
    <w:rsid w:val="00C37D77"/>
  </w:style>
  <w:style w:type="paragraph" w:customStyle="1" w:styleId="en-un">
    <w:name w:val="en-un"/>
    <w:basedOn w:val="en-tx"/>
    <w:autoRedefine/>
    <w:qFormat/>
    <w:rsid w:val="00C37D77"/>
    <w:pPr>
      <w:ind w:firstLine="0"/>
    </w:pPr>
  </w:style>
  <w:style w:type="paragraph" w:customStyle="1" w:styleId="en-h1">
    <w:name w:val="en-h1"/>
    <w:basedOn w:val="h4"/>
    <w:autoRedefine/>
    <w:qFormat/>
    <w:rsid w:val="00C37D77"/>
    <w:pPr>
      <w:spacing w:before="240"/>
    </w:pPr>
  </w:style>
  <w:style w:type="paragraph" w:customStyle="1" w:styleId="ref">
    <w:name w:val="ref"/>
    <w:autoRedefine/>
    <w:qFormat/>
    <w:rsid w:val="000237C4"/>
    <w:pPr>
      <w:spacing w:line="360" w:lineRule="auto"/>
      <w:ind w:left="360" w:hanging="360"/>
    </w:pPr>
    <w:rPr>
      <w:rFonts w:ascii="Times New Roman" w:hAnsi="Times New Roman"/>
      <w:sz w:val="22"/>
    </w:rPr>
  </w:style>
  <w:style w:type="paragraph" w:customStyle="1" w:styleId="glos">
    <w:name w:val="glos"/>
    <w:autoRedefine/>
    <w:qFormat/>
    <w:rsid w:val="00895DAE"/>
    <w:pPr>
      <w:spacing w:line="360" w:lineRule="auto"/>
      <w:ind w:left="360" w:hanging="360"/>
    </w:pPr>
    <w:rPr>
      <w:rFonts w:ascii="Times New Roman" w:hAnsi="Times New Roman"/>
    </w:rPr>
  </w:style>
  <w:style w:type="paragraph" w:customStyle="1" w:styleId="in">
    <w:name w:val="in"/>
    <w:autoRedefine/>
    <w:qFormat/>
    <w:rsid w:val="00895DAE"/>
    <w:pPr>
      <w:spacing w:line="360" w:lineRule="auto"/>
      <w:ind w:left="1080" w:hanging="1080"/>
    </w:pPr>
    <w:rPr>
      <w:rFonts w:ascii="Times New Roman" w:hAnsi="Times New Roman"/>
      <w:sz w:val="18"/>
    </w:rPr>
  </w:style>
  <w:style w:type="paragraph" w:customStyle="1" w:styleId="in1">
    <w:name w:val="in1"/>
    <w:basedOn w:val="in"/>
    <w:autoRedefine/>
    <w:qFormat/>
    <w:rsid w:val="00C37D77"/>
    <w:pPr>
      <w:ind w:hanging="720"/>
    </w:pPr>
  </w:style>
  <w:style w:type="paragraph" w:customStyle="1" w:styleId="in2">
    <w:name w:val="in2"/>
    <w:basedOn w:val="in1"/>
    <w:autoRedefine/>
    <w:qFormat/>
    <w:rsid w:val="00C37D77"/>
    <w:pPr>
      <w:ind w:hanging="360"/>
    </w:pPr>
  </w:style>
  <w:style w:type="paragraph" w:customStyle="1" w:styleId="inf">
    <w:name w:val="inf"/>
    <w:basedOn w:val="in"/>
    <w:autoRedefine/>
    <w:qFormat/>
    <w:rsid w:val="00C37D77"/>
    <w:pPr>
      <w:spacing w:before="240"/>
    </w:pPr>
  </w:style>
  <w:style w:type="character" w:customStyle="1" w:styleId="b">
    <w:name w:val="b"/>
    <w:basedOn w:val="DefaultParagraphFont"/>
    <w:uiPriority w:val="1"/>
    <w:qFormat/>
    <w:rsid w:val="00C37D77"/>
    <w:rPr>
      <w:b/>
      <w:color w:val="7030A0"/>
    </w:rPr>
  </w:style>
  <w:style w:type="character" w:customStyle="1" w:styleId="bi">
    <w:name w:val="bi"/>
    <w:basedOn w:val="b"/>
    <w:uiPriority w:val="1"/>
    <w:qFormat/>
    <w:rsid w:val="00C37D77"/>
    <w:rPr>
      <w:b/>
      <w:i/>
      <w:color w:val="2F1544"/>
    </w:rPr>
  </w:style>
  <w:style w:type="character" w:customStyle="1" w:styleId="i">
    <w:name w:val="i"/>
    <w:basedOn w:val="DefaultParagraphFont"/>
    <w:uiPriority w:val="1"/>
    <w:qFormat/>
    <w:rsid w:val="00C37D77"/>
    <w:rPr>
      <w:i/>
      <w:color w:val="00B050"/>
    </w:rPr>
  </w:style>
  <w:style w:type="character" w:customStyle="1" w:styleId="sc">
    <w:name w:val="sc"/>
    <w:basedOn w:val="DefaultParagraphFont"/>
    <w:uiPriority w:val="1"/>
    <w:qFormat/>
    <w:rsid w:val="00C37D77"/>
    <w:rPr>
      <w:caps w:val="0"/>
      <w:smallCaps/>
      <w:color w:val="0070C0"/>
    </w:rPr>
  </w:style>
  <w:style w:type="character" w:customStyle="1" w:styleId="strk">
    <w:name w:val="strk"/>
    <w:basedOn w:val="DefaultParagraphFont"/>
    <w:uiPriority w:val="1"/>
    <w:qFormat/>
    <w:rsid w:val="00C37D77"/>
    <w:rPr>
      <w:strike/>
      <w:dstrike w:val="0"/>
    </w:rPr>
  </w:style>
  <w:style w:type="character" w:customStyle="1" w:styleId="u">
    <w:name w:val="u"/>
    <w:basedOn w:val="DefaultParagraphFont"/>
    <w:uiPriority w:val="1"/>
    <w:qFormat/>
    <w:rsid w:val="00C37D77"/>
    <w:rPr>
      <w:u w:val="single"/>
    </w:rPr>
  </w:style>
  <w:style w:type="character" w:customStyle="1" w:styleId="enref">
    <w:name w:val="enref"/>
    <w:basedOn w:val="DefaultParagraphFont"/>
    <w:uiPriority w:val="1"/>
    <w:qFormat/>
    <w:rsid w:val="00C37D77"/>
    <w:rPr>
      <w:color w:val="C00000"/>
      <w:vertAlign w:val="superscript"/>
    </w:rPr>
  </w:style>
  <w:style w:type="character" w:customStyle="1" w:styleId="lang">
    <w:name w:val="lang"/>
    <w:uiPriority w:val="1"/>
    <w:qFormat/>
    <w:rsid w:val="00C37D77"/>
    <w:rPr>
      <w:color w:val="ED7D31" w:themeColor="accent2"/>
    </w:rPr>
  </w:style>
  <w:style w:type="character" w:customStyle="1" w:styleId="sub">
    <w:name w:val="sub"/>
    <w:basedOn w:val="DefaultParagraphFont"/>
    <w:uiPriority w:val="1"/>
    <w:qFormat/>
    <w:rsid w:val="00C37D77"/>
    <w:rPr>
      <w:vertAlign w:val="subscript"/>
    </w:rPr>
  </w:style>
  <w:style w:type="character" w:customStyle="1" w:styleId="sup">
    <w:name w:val="sup"/>
    <w:basedOn w:val="DefaultParagraphFont"/>
    <w:uiPriority w:val="1"/>
    <w:qFormat/>
    <w:rsid w:val="00C37D77"/>
    <w:rPr>
      <w:vertAlign w:val="superscript"/>
    </w:rPr>
  </w:style>
  <w:style w:type="character" w:customStyle="1" w:styleId="symb">
    <w:name w:val="symb"/>
    <w:uiPriority w:val="1"/>
    <w:qFormat/>
    <w:rsid w:val="00C37D77"/>
  </w:style>
  <w:style w:type="character" w:customStyle="1" w:styleId="url">
    <w:name w:val="url"/>
    <w:basedOn w:val="DefaultParagraphFont"/>
    <w:uiPriority w:val="1"/>
    <w:qFormat/>
    <w:rsid w:val="00C37D77"/>
    <w:rPr>
      <w:u w:val="none"/>
    </w:rPr>
  </w:style>
  <w:style w:type="character" w:customStyle="1" w:styleId="ennum">
    <w:name w:val="ennum"/>
    <w:basedOn w:val="DefaultParagraphFont"/>
    <w:uiPriority w:val="1"/>
    <w:qFormat/>
    <w:rsid w:val="00D7215F"/>
    <w:rPr>
      <w:color w:val="C00000"/>
    </w:rPr>
  </w:style>
  <w:style w:type="paragraph" w:customStyle="1" w:styleId="insert">
    <w:name w:val="insert"/>
    <w:basedOn w:val="tx-fl"/>
    <w:qFormat/>
    <w:rsid w:val="00D7215F"/>
    <w:pPr>
      <w:spacing w:before="240" w:after="240"/>
    </w:pPr>
    <w:rPr>
      <w:rFonts w:cs="Times New Roman (Body CS)"/>
      <w:b/>
      <w:color w:val="92D050"/>
    </w:rPr>
  </w:style>
  <w:style w:type="paragraph" w:styleId="Footer">
    <w:name w:val="footer"/>
    <w:basedOn w:val="Normal"/>
    <w:link w:val="FooterChar"/>
    <w:uiPriority w:val="99"/>
    <w:unhideWhenUsed/>
    <w:rsid w:val="00FF560A"/>
    <w:pPr>
      <w:tabs>
        <w:tab w:val="center" w:pos="4680"/>
        <w:tab w:val="right" w:pos="9360"/>
      </w:tabs>
    </w:pPr>
  </w:style>
  <w:style w:type="character" w:customStyle="1" w:styleId="FooterChar">
    <w:name w:val="Footer Char"/>
    <w:basedOn w:val="DefaultParagraphFont"/>
    <w:link w:val="Footer"/>
    <w:uiPriority w:val="99"/>
    <w:rsid w:val="00FF560A"/>
  </w:style>
  <w:style w:type="character" w:styleId="PageNumber">
    <w:name w:val="page number"/>
    <w:basedOn w:val="DefaultParagraphFont"/>
    <w:uiPriority w:val="99"/>
    <w:semiHidden/>
    <w:unhideWhenUsed/>
    <w:rsid w:val="00FF560A"/>
  </w:style>
  <w:style w:type="paragraph" w:styleId="EndnoteText">
    <w:name w:val="endnote text"/>
    <w:basedOn w:val="Normal"/>
    <w:link w:val="EndnoteTextChar"/>
    <w:uiPriority w:val="99"/>
    <w:semiHidden/>
    <w:unhideWhenUsed/>
    <w:rsid w:val="00FF560A"/>
    <w:rPr>
      <w:sz w:val="20"/>
      <w:szCs w:val="20"/>
    </w:rPr>
  </w:style>
  <w:style w:type="character" w:customStyle="1" w:styleId="EndnoteTextChar">
    <w:name w:val="Endnote Text Char"/>
    <w:basedOn w:val="DefaultParagraphFont"/>
    <w:link w:val="EndnoteText"/>
    <w:uiPriority w:val="99"/>
    <w:semiHidden/>
    <w:rsid w:val="00FF560A"/>
    <w:rPr>
      <w:sz w:val="20"/>
      <w:szCs w:val="20"/>
    </w:rPr>
  </w:style>
  <w:style w:type="character" w:styleId="EndnoteReference">
    <w:name w:val="endnote reference"/>
    <w:basedOn w:val="DefaultParagraphFont"/>
    <w:uiPriority w:val="99"/>
    <w:semiHidden/>
    <w:unhideWhenUsed/>
    <w:rsid w:val="00FF560A"/>
    <w:rPr>
      <w:vertAlign w:val="superscript"/>
    </w:rPr>
  </w:style>
  <w:style w:type="paragraph" w:styleId="Header">
    <w:name w:val="header"/>
    <w:basedOn w:val="Normal"/>
    <w:link w:val="HeaderChar"/>
    <w:uiPriority w:val="99"/>
    <w:unhideWhenUsed/>
    <w:rsid w:val="00FF560A"/>
    <w:pPr>
      <w:tabs>
        <w:tab w:val="center" w:pos="4680"/>
        <w:tab w:val="right" w:pos="9360"/>
      </w:tabs>
    </w:pPr>
  </w:style>
  <w:style w:type="character" w:customStyle="1" w:styleId="HeaderChar">
    <w:name w:val="Header Char"/>
    <w:basedOn w:val="DefaultParagraphFont"/>
    <w:link w:val="Header"/>
    <w:uiPriority w:val="99"/>
    <w:rsid w:val="00FF560A"/>
  </w:style>
  <w:style w:type="character" w:customStyle="1" w:styleId="fnref">
    <w:name w:val="fnref"/>
    <w:basedOn w:val="DefaultParagraphFont"/>
    <w:rsid w:val="00EF4B8F"/>
    <w:rPr>
      <w:rFonts w:ascii="Times New Roman" w:eastAsia="Times New Roman" w:hAnsi="Times New Roman" w:cs="Times New Roman"/>
      <w:bCs/>
    </w:rPr>
  </w:style>
  <w:style w:type="character" w:styleId="FootnoteReference">
    <w:name w:val="footnote reference"/>
    <w:basedOn w:val="DefaultParagraphFont"/>
    <w:uiPriority w:val="99"/>
    <w:semiHidden/>
    <w:unhideWhenUsed/>
    <w:rsid w:val="00EF4B8F"/>
    <w:rPr>
      <w:vertAlign w:val="superscript"/>
    </w:rPr>
  </w:style>
  <w:style w:type="character" w:styleId="Hyperlink">
    <w:name w:val="Hyperlink"/>
    <w:basedOn w:val="DefaultParagraphFont"/>
    <w:uiPriority w:val="99"/>
    <w:semiHidden/>
    <w:unhideWhenUsed/>
    <w:rsid w:val="00EF4B8F"/>
    <w:rPr>
      <w:color w:val="0563C1" w:themeColor="hyperlink"/>
      <w:u w:val="single"/>
    </w:rPr>
  </w:style>
  <w:style w:type="character" w:customStyle="1" w:styleId="url-bi">
    <w:name w:val="url-bi"/>
    <w:basedOn w:val="DefaultParagraphFont"/>
    <w:rsid w:val="00EF4B8F"/>
    <w:rPr>
      <w:rFonts w:ascii="Times New Roman" w:eastAsia="Times New Roman" w:hAnsi="Times New Roman" w:cs="Times New Roman"/>
      <w:bCs/>
    </w:rPr>
  </w:style>
  <w:style w:type="character" w:customStyle="1" w:styleId="url-i">
    <w:name w:val="url-i"/>
    <w:basedOn w:val="DefaultParagraphFont"/>
    <w:rsid w:val="00EF4B8F"/>
    <w:rPr>
      <w:rFonts w:ascii="Times New Roman" w:eastAsia="Times New Roman" w:hAnsi="Times New Roman" w:cs="Times New Roman"/>
      <w:bCs/>
    </w:rPr>
  </w:style>
  <w:style w:type="character" w:customStyle="1" w:styleId="url-b">
    <w:name w:val="url-b"/>
    <w:basedOn w:val="DefaultParagraphFont"/>
    <w:rsid w:val="00EF4B8F"/>
    <w:rPr>
      <w:rFonts w:ascii="Times New Roman" w:eastAsia="Times New Roman" w:hAnsi="Times New Roman" w:cs="Times New Roman"/>
      <w:bCs/>
    </w:rPr>
  </w:style>
  <w:style w:type="character" w:customStyle="1" w:styleId="sup-bi">
    <w:name w:val="sup-bi"/>
    <w:basedOn w:val="DefaultParagraphFont"/>
    <w:rsid w:val="00EF4B8F"/>
    <w:rPr>
      <w:rFonts w:asciiTheme="minorHAnsi" w:eastAsiaTheme="minorHAnsi" w:hAnsiTheme="minorHAnsi" w:cstheme="minorBidi"/>
      <w:bCs w:val="0"/>
      <w:color w:val="008000"/>
    </w:rPr>
  </w:style>
  <w:style w:type="character" w:customStyle="1" w:styleId="sup-i">
    <w:name w:val="sup-i"/>
    <w:basedOn w:val="DefaultParagraphFont"/>
    <w:rsid w:val="00EF4B8F"/>
    <w:rPr>
      <w:rFonts w:asciiTheme="minorHAnsi" w:eastAsiaTheme="minorHAnsi" w:hAnsiTheme="minorHAnsi" w:cstheme="minorBidi"/>
      <w:bCs w:val="0"/>
      <w:color w:val="008000"/>
    </w:rPr>
  </w:style>
  <w:style w:type="character" w:customStyle="1" w:styleId="sup-b">
    <w:name w:val="sup-b"/>
    <w:basedOn w:val="DefaultParagraphFont"/>
    <w:rsid w:val="00EF4B8F"/>
    <w:rPr>
      <w:rFonts w:asciiTheme="minorHAnsi" w:eastAsiaTheme="minorHAnsi" w:hAnsiTheme="minorHAnsi" w:cstheme="minorBidi"/>
      <w:bCs w:val="0"/>
      <w:color w:val="008000"/>
    </w:rPr>
  </w:style>
  <w:style w:type="character" w:customStyle="1" w:styleId="sub-bi">
    <w:name w:val="sub-bi"/>
    <w:basedOn w:val="DefaultParagraphFont"/>
    <w:rsid w:val="00EF4B8F"/>
    <w:rPr>
      <w:rFonts w:asciiTheme="minorHAnsi" w:eastAsiaTheme="minorHAnsi" w:hAnsiTheme="minorHAnsi" w:cstheme="minorBidi"/>
      <w:bCs w:val="0"/>
      <w:color w:val="008000"/>
    </w:rPr>
  </w:style>
  <w:style w:type="character" w:customStyle="1" w:styleId="sub-i">
    <w:name w:val="sub-i"/>
    <w:basedOn w:val="DefaultParagraphFont"/>
    <w:rsid w:val="00EF4B8F"/>
    <w:rPr>
      <w:rFonts w:asciiTheme="minorHAnsi" w:eastAsiaTheme="minorHAnsi" w:hAnsiTheme="minorHAnsi" w:cstheme="minorBidi"/>
      <w:bCs w:val="0"/>
      <w:color w:val="008000"/>
    </w:rPr>
  </w:style>
  <w:style w:type="character" w:customStyle="1" w:styleId="sub-b">
    <w:name w:val="sub-b"/>
    <w:basedOn w:val="DefaultParagraphFont"/>
    <w:rsid w:val="00EF4B8F"/>
    <w:rPr>
      <w:rFonts w:asciiTheme="minorHAnsi" w:eastAsiaTheme="minorHAnsi" w:hAnsiTheme="minorHAnsi" w:cstheme="minorBidi"/>
      <w:bCs w:val="0"/>
      <w:color w:val="008000"/>
    </w:rPr>
  </w:style>
  <w:style w:type="character" w:customStyle="1" w:styleId="sm-bi">
    <w:name w:val="sm-bi"/>
    <w:basedOn w:val="DefaultParagraphFont"/>
    <w:rsid w:val="00EF4B8F"/>
    <w:rPr>
      <w:rFonts w:asciiTheme="minorHAnsi" w:eastAsiaTheme="minorHAnsi" w:hAnsiTheme="minorHAnsi" w:cstheme="minorBidi"/>
      <w:bCs w:val="0"/>
      <w:color w:val="008000"/>
    </w:rPr>
  </w:style>
  <w:style w:type="character" w:customStyle="1" w:styleId="sm-i">
    <w:name w:val="sm-i"/>
    <w:basedOn w:val="DefaultParagraphFont"/>
    <w:rsid w:val="00EF4B8F"/>
    <w:rPr>
      <w:rFonts w:asciiTheme="minorHAnsi" w:eastAsiaTheme="minorHAnsi" w:hAnsiTheme="minorHAnsi" w:cstheme="minorBidi"/>
      <w:bCs w:val="0"/>
      <w:color w:val="008000"/>
    </w:rPr>
  </w:style>
  <w:style w:type="character" w:customStyle="1" w:styleId="sm-b">
    <w:name w:val="sm-b"/>
    <w:basedOn w:val="DefaultParagraphFont"/>
    <w:rsid w:val="00EF4B8F"/>
    <w:rPr>
      <w:rFonts w:asciiTheme="minorHAnsi" w:eastAsiaTheme="minorHAnsi" w:hAnsiTheme="minorHAnsi" w:cstheme="minorBidi"/>
      <w:bCs w:val="0"/>
      <w:color w:val="008000"/>
    </w:rPr>
  </w:style>
  <w:style w:type="character" w:customStyle="1" w:styleId="strk-bi">
    <w:name w:val="strk-bi"/>
    <w:basedOn w:val="DefaultParagraphFont"/>
    <w:rsid w:val="00EF4B8F"/>
    <w:rPr>
      <w:rFonts w:asciiTheme="minorHAnsi" w:eastAsiaTheme="minorHAnsi" w:hAnsiTheme="minorHAnsi" w:cstheme="minorBidi"/>
      <w:bCs w:val="0"/>
      <w:color w:val="008000"/>
    </w:rPr>
  </w:style>
  <w:style w:type="character" w:customStyle="1" w:styleId="strk-i">
    <w:name w:val="strk-i"/>
    <w:basedOn w:val="DefaultParagraphFont"/>
    <w:rsid w:val="00EF4B8F"/>
    <w:rPr>
      <w:rFonts w:asciiTheme="minorHAnsi" w:eastAsiaTheme="minorHAnsi" w:hAnsiTheme="minorHAnsi" w:cstheme="minorBidi"/>
      <w:bCs w:val="0"/>
      <w:color w:val="008000"/>
    </w:rPr>
  </w:style>
  <w:style w:type="character" w:customStyle="1" w:styleId="strk-b">
    <w:name w:val="strk-b"/>
    <w:basedOn w:val="DefaultParagraphFont"/>
    <w:rsid w:val="00EF4B8F"/>
    <w:rPr>
      <w:rFonts w:asciiTheme="minorHAnsi" w:eastAsiaTheme="minorHAnsi" w:hAnsiTheme="minorHAnsi" w:cstheme="minorBidi"/>
      <w:bCs w:val="0"/>
      <w:color w:val="008000"/>
    </w:rPr>
  </w:style>
  <w:style w:type="character" w:customStyle="1" w:styleId="iu">
    <w:name w:val="iu"/>
    <w:basedOn w:val="DefaultParagraphFont"/>
    <w:rsid w:val="00EF4B8F"/>
    <w:rPr>
      <w:rFonts w:asciiTheme="minorHAnsi" w:eastAsiaTheme="minorHAnsi" w:hAnsiTheme="minorHAnsi" w:cstheme="minorBidi"/>
      <w:bCs w:val="0"/>
      <w:color w:val="008000"/>
    </w:rPr>
  </w:style>
  <w:style w:type="character" w:customStyle="1" w:styleId="bu">
    <w:name w:val="bu"/>
    <w:basedOn w:val="DefaultParagraphFont"/>
    <w:rsid w:val="00EF4B8F"/>
    <w:rPr>
      <w:rFonts w:asciiTheme="minorHAnsi" w:eastAsiaTheme="minorHAnsi" w:hAnsiTheme="minorHAnsi" w:cstheme="minorBidi"/>
      <w:bCs w:val="0"/>
      <w:color w:val="008000"/>
    </w:rPr>
  </w:style>
  <w:style w:type="character" w:customStyle="1" w:styleId="sm">
    <w:name w:val="sm"/>
    <w:basedOn w:val="DefaultParagraphFont"/>
    <w:rsid w:val="00EF4B8F"/>
    <w:rPr>
      <w:rFonts w:asciiTheme="minorHAnsi" w:eastAsiaTheme="minorHAnsi" w:hAnsiTheme="minorHAnsi" w:cstheme="minorBidi"/>
      <w:bCs w:val="0"/>
      <w:color w:val="008000"/>
    </w:rPr>
  </w:style>
  <w:style w:type="character" w:customStyle="1" w:styleId="fnnum">
    <w:name w:val="fnnum"/>
    <w:basedOn w:val="DefaultParagraphFont"/>
    <w:rsid w:val="00EF4B8F"/>
    <w:rPr>
      <w:rFonts w:ascii="Times New Roman" w:eastAsia="Times New Roman" w:hAnsi="Times New Roman" w:cs="Times New Roman"/>
      <w:bCs/>
    </w:rPr>
  </w:style>
  <w:style w:type="paragraph" w:customStyle="1" w:styleId="p">
    <w:name w:val="p"/>
    <w:basedOn w:val="Normal"/>
    <w:link w:val="pChar"/>
    <w:rsid w:val="00EF4B8F"/>
    <w:pPr>
      <w:snapToGrid w:val="0"/>
      <w:spacing w:line="480" w:lineRule="auto"/>
      <w:jc w:val="center"/>
    </w:pPr>
    <w:rPr>
      <w:rFonts w:ascii="Times New Roman" w:eastAsia="Times New Roman" w:hAnsi="Times New Roman" w:cs="Times New Roman"/>
      <w:bCs/>
    </w:rPr>
  </w:style>
  <w:style w:type="character" w:customStyle="1" w:styleId="pChar">
    <w:name w:val="p Char"/>
    <w:basedOn w:val="DefaultParagraphFont"/>
    <w:link w:val="p"/>
    <w:rsid w:val="00EF4B8F"/>
    <w:rPr>
      <w:rFonts w:ascii="Times New Roman" w:eastAsia="Times New Roman" w:hAnsi="Times New Roman" w:cs="Times New Roman"/>
      <w:bCs/>
    </w:rPr>
  </w:style>
  <w:style w:type="paragraph" w:styleId="Revision">
    <w:name w:val="Revision"/>
    <w:hidden/>
    <w:uiPriority w:val="99"/>
    <w:semiHidden/>
    <w:rsid w:val="009D09AA"/>
  </w:style>
  <w:style w:type="character" w:styleId="CommentReference">
    <w:name w:val="annotation reference"/>
    <w:basedOn w:val="DefaultParagraphFont"/>
    <w:uiPriority w:val="99"/>
    <w:semiHidden/>
    <w:unhideWhenUsed/>
    <w:rsid w:val="00FD0828"/>
    <w:rPr>
      <w:sz w:val="16"/>
      <w:szCs w:val="16"/>
    </w:rPr>
  </w:style>
  <w:style w:type="paragraph" w:styleId="CommentText">
    <w:name w:val="annotation text"/>
    <w:basedOn w:val="Normal"/>
    <w:link w:val="CommentTextChar"/>
    <w:uiPriority w:val="99"/>
    <w:semiHidden/>
    <w:unhideWhenUsed/>
    <w:rsid w:val="00FD0828"/>
    <w:rPr>
      <w:sz w:val="20"/>
      <w:szCs w:val="20"/>
    </w:rPr>
  </w:style>
  <w:style w:type="character" w:customStyle="1" w:styleId="CommentTextChar">
    <w:name w:val="Comment Text Char"/>
    <w:basedOn w:val="DefaultParagraphFont"/>
    <w:link w:val="CommentText"/>
    <w:uiPriority w:val="99"/>
    <w:semiHidden/>
    <w:rsid w:val="00FD0828"/>
    <w:rPr>
      <w:sz w:val="20"/>
      <w:szCs w:val="20"/>
    </w:rPr>
  </w:style>
  <w:style w:type="paragraph" w:styleId="CommentSubject">
    <w:name w:val="annotation subject"/>
    <w:basedOn w:val="CommentText"/>
    <w:next w:val="CommentText"/>
    <w:link w:val="CommentSubjectChar"/>
    <w:uiPriority w:val="99"/>
    <w:semiHidden/>
    <w:unhideWhenUsed/>
    <w:rsid w:val="00FD0828"/>
    <w:rPr>
      <w:b/>
      <w:bCs/>
    </w:rPr>
  </w:style>
  <w:style w:type="character" w:customStyle="1" w:styleId="CommentSubjectChar">
    <w:name w:val="Comment Subject Char"/>
    <w:basedOn w:val="CommentTextChar"/>
    <w:link w:val="CommentSubject"/>
    <w:uiPriority w:val="99"/>
    <w:semiHidden/>
    <w:rsid w:val="00FD082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microsoft.com/office/2011/relationships/people" Target="people.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lleepaas/Desktop/BC%20CODE%20SHEETS%20&amp;%20TEMPLATE/BookComp-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BookComp-Template.dotx</Template>
  <TotalTime>1</TotalTime>
  <Pages>9</Pages>
  <Words>3181</Words>
  <Characters>18136</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Allee Paas</dc:creator>
  <cp:keywords/>
  <dc:description/>
  <cp:lastModifiedBy>Zitcer,Andrew</cp:lastModifiedBy>
  <cp:revision>2</cp:revision>
  <dcterms:created xsi:type="dcterms:W3CDTF">2025-07-17T18:42:00Z</dcterms:created>
  <dcterms:modified xsi:type="dcterms:W3CDTF">2025-07-17T18:42:00Z</dcterms:modified>
</cp:coreProperties>
</file>